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E7F13">
      <w:pPr>
        <w:spacing w:line="640" w:lineRule="exact"/>
        <w:jc w:val="center"/>
        <w:rPr>
          <w:rFonts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西华大学2026年郫都校区</w:t>
      </w:r>
    </w:p>
    <w:p w14:paraId="501B8744">
      <w:pPr>
        <w:spacing w:line="640"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毕业生公寓床更换项目需求文件</w:t>
      </w:r>
      <w:r>
        <w:rPr>
          <w:rFonts w:hint="eastAsia" w:ascii="黑体" w:hAnsi="黑体" w:eastAsia="黑体" w:cs="黑体"/>
          <w:color w:val="000000" w:themeColor="text1"/>
          <w:sz w:val="32"/>
          <w:szCs w:val="32"/>
          <w14:textFill>
            <w14:solidFill>
              <w14:schemeClr w14:val="tx1"/>
            </w14:solidFill>
          </w14:textFill>
        </w:rPr>
        <w:tab/>
      </w:r>
    </w:p>
    <w:p w14:paraId="5479A2A1">
      <w:pPr>
        <w:pStyle w:val="2"/>
        <w:rPr>
          <w:color w:val="000000" w:themeColor="text1"/>
          <w14:textFill>
            <w14:solidFill>
              <w14:schemeClr w14:val="tx1"/>
            </w14:solidFill>
          </w14:textFill>
        </w:rPr>
      </w:pPr>
    </w:p>
    <w:p w14:paraId="7A77B0F6">
      <w:pPr>
        <w:spacing w:line="360" w:lineRule="auto"/>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一、项目概况</w:t>
      </w:r>
    </w:p>
    <w:p w14:paraId="066DD48E">
      <w:pPr>
        <w:pStyle w:val="15"/>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为改善住宿条件，提升学生公寓家具舒适度与安全性，更好满足学生使用需求，西华大学郫都校区拟采购公寓床等家具1批（含旧家具拆除搬运），本项目共计2个包件。</w:t>
      </w:r>
    </w:p>
    <w:p w14:paraId="35F585F3">
      <w:pPr>
        <w:spacing w:line="360" w:lineRule="auto"/>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二、投标人应具备的</w:t>
      </w:r>
      <w:bookmarkStart w:id="0" w:name="OLE_LINK1"/>
      <w:r>
        <w:rPr>
          <w:rFonts w:hint="eastAsia" w:ascii="黑体" w:hAnsi="黑体" w:eastAsia="黑体" w:cs="黑体"/>
          <w:color w:val="000000" w:themeColor="text1"/>
          <w:sz w:val="24"/>
          <w:szCs w:val="24"/>
          <w14:textFill>
            <w14:solidFill>
              <w14:schemeClr w14:val="tx1"/>
            </w14:solidFill>
          </w14:textFill>
        </w:rPr>
        <w:t>资格条件</w:t>
      </w:r>
    </w:p>
    <w:p w14:paraId="3F08C4E3">
      <w:pPr>
        <w:tabs>
          <w:tab w:val="left" w:pos="1080"/>
        </w:tabs>
        <w:spacing w:line="400" w:lineRule="exact"/>
        <w:ind w:firstLine="420" w:firstLineChars="175"/>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（一）具备《中华人民共和国政府采购法》第二十二条规定的条件：</w:t>
      </w:r>
    </w:p>
    <w:p w14:paraId="514447CA">
      <w:pPr>
        <w:tabs>
          <w:tab w:val="left" w:pos="1080"/>
        </w:tabs>
        <w:spacing w:line="400" w:lineRule="exact"/>
        <w:ind w:left="210" w:leftChars="100" w:firstLine="420" w:firstLineChars="175"/>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1.具有独立承担民事责任的能力；</w:t>
      </w:r>
    </w:p>
    <w:p w14:paraId="32C19602">
      <w:pPr>
        <w:tabs>
          <w:tab w:val="left" w:pos="1080"/>
        </w:tabs>
        <w:spacing w:line="400" w:lineRule="exact"/>
        <w:ind w:left="210" w:leftChars="100" w:firstLine="420" w:firstLineChars="175"/>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2.具有良好的商业信誉和健全的财务会计制度；</w:t>
      </w:r>
    </w:p>
    <w:p w14:paraId="2C956624">
      <w:pPr>
        <w:tabs>
          <w:tab w:val="left" w:pos="1080"/>
        </w:tabs>
        <w:spacing w:line="400" w:lineRule="exact"/>
        <w:ind w:left="210" w:leftChars="100" w:firstLine="420" w:firstLineChars="175"/>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3.具有履行合同所必需的设备和专业技术能力；</w:t>
      </w:r>
    </w:p>
    <w:p w14:paraId="4C6442CB">
      <w:pPr>
        <w:tabs>
          <w:tab w:val="left" w:pos="1080"/>
        </w:tabs>
        <w:spacing w:line="400" w:lineRule="exact"/>
        <w:ind w:left="210" w:leftChars="100" w:firstLine="420" w:firstLineChars="175"/>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4.具有依法缴纳税收和社会保障资金的良好记录；</w:t>
      </w:r>
    </w:p>
    <w:p w14:paraId="21458928">
      <w:pPr>
        <w:tabs>
          <w:tab w:val="left" w:pos="1080"/>
        </w:tabs>
        <w:spacing w:line="400" w:lineRule="exact"/>
        <w:ind w:left="210" w:leftChars="100" w:firstLine="420" w:firstLineChars="175"/>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5.参加本次政府采购活动前三年内，在经营活动中没有重大违法记录；</w:t>
      </w:r>
    </w:p>
    <w:p w14:paraId="2459C8DB">
      <w:pPr>
        <w:tabs>
          <w:tab w:val="left" w:pos="1080"/>
        </w:tabs>
        <w:spacing w:line="400" w:lineRule="exact"/>
        <w:ind w:left="210" w:leftChars="100" w:firstLine="420" w:firstLineChars="175"/>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6.法律、行政法规规定的其他条件。</w:t>
      </w:r>
    </w:p>
    <w:bookmarkEnd w:id="0"/>
    <w:p w14:paraId="3A26EBE7">
      <w:pPr>
        <w:tabs>
          <w:tab w:val="left" w:pos="1080"/>
        </w:tabs>
        <w:spacing w:line="400" w:lineRule="exact"/>
        <w:ind w:firstLine="420" w:firstLineChars="175"/>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（二）本项目的特定资格要求：</w:t>
      </w:r>
    </w:p>
    <w:p w14:paraId="5BDADFA5">
      <w:pPr>
        <w:tabs>
          <w:tab w:val="left" w:pos="1080"/>
        </w:tabs>
        <w:spacing w:line="400" w:lineRule="exact"/>
        <w:ind w:left="210" w:leftChars="100" w:firstLine="420" w:firstLineChars="175"/>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1.未被列入失信被执行人、重大税收违法案件当事人名单、政府采购严重违法失信行为记录名单； </w:t>
      </w:r>
    </w:p>
    <w:p w14:paraId="38CD5333">
      <w:pPr>
        <w:tabs>
          <w:tab w:val="left" w:pos="1080"/>
        </w:tabs>
        <w:spacing w:line="400" w:lineRule="exact"/>
        <w:ind w:left="210" w:leftChars="100" w:firstLine="420" w:firstLineChars="175"/>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2.不属于其他国家相关法律法规规定的禁止参加投标的供应商； </w:t>
      </w:r>
    </w:p>
    <w:p w14:paraId="067F16C7">
      <w:pPr>
        <w:tabs>
          <w:tab w:val="left" w:pos="1080"/>
        </w:tabs>
        <w:spacing w:line="400" w:lineRule="exact"/>
        <w:ind w:left="210" w:leftChars="100" w:firstLine="420" w:firstLineChars="175"/>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3.本项目不接受联合体投标。</w:t>
      </w:r>
    </w:p>
    <w:p w14:paraId="2A90CF3B">
      <w:pPr>
        <w:spacing w:line="400" w:lineRule="exact"/>
        <w:ind w:firstLine="420" w:firstLineChars="175"/>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（三）落实政府采购政策需满足的资格要求：</w:t>
      </w:r>
    </w:p>
    <w:p w14:paraId="492970B1">
      <w:pPr>
        <w:spacing w:line="400" w:lineRule="exact"/>
        <w:ind w:firstLine="900" w:firstLineChars="375"/>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本项目专门面向中小企业。</w:t>
      </w:r>
    </w:p>
    <w:p w14:paraId="6B7BDDEE">
      <w:pPr>
        <w:numPr>
          <w:ilvl w:val="0"/>
          <w:numId w:val="1"/>
        </w:numPr>
        <w:spacing w:line="400" w:lineRule="exact"/>
        <w:ind w:firstLine="480" w:firstLineChars="200"/>
        <w:rPr>
          <w:rFonts w:ascii="黑体" w:hAnsi="黑体" w:eastAsia="黑体" w:cs="黑体"/>
          <w:color w:val="000000" w:themeColor="text1"/>
          <w:sz w:val="24"/>
          <w:szCs w:val="24"/>
          <w14:textFill>
            <w14:solidFill>
              <w14:schemeClr w14:val="tx1"/>
            </w14:solidFill>
          </w14:textFill>
        </w:rPr>
      </w:pPr>
      <w:bookmarkStart w:id="1" w:name="_Toc23178"/>
      <w:bookmarkStart w:id="2" w:name="_Toc14076"/>
      <w:bookmarkStart w:id="3" w:name="_Toc5300"/>
      <w:r>
        <w:rPr>
          <w:rFonts w:hint="eastAsia" w:ascii="黑体" w:hAnsi="黑体" w:eastAsia="黑体" w:cs="黑体"/>
          <w:color w:val="000000" w:themeColor="text1"/>
          <w:sz w:val="24"/>
          <w:szCs w:val="24"/>
          <w14:textFill>
            <w14:solidFill>
              <w14:schemeClr w14:val="tx1"/>
            </w14:solidFill>
          </w14:textFill>
        </w:rPr>
        <w:t>采购</w:t>
      </w:r>
      <w:bookmarkEnd w:id="1"/>
      <w:bookmarkEnd w:id="2"/>
      <w:bookmarkEnd w:id="3"/>
      <w:r>
        <w:rPr>
          <w:rFonts w:hint="eastAsia" w:ascii="黑体" w:hAnsi="黑体" w:eastAsia="黑体" w:cs="黑体"/>
          <w:color w:val="000000" w:themeColor="text1"/>
          <w:sz w:val="24"/>
          <w:szCs w:val="24"/>
          <w14:textFill>
            <w14:solidFill>
              <w14:schemeClr w14:val="tx1"/>
            </w14:solidFill>
          </w14:textFill>
        </w:rPr>
        <w:t>内容</w:t>
      </w:r>
    </w:p>
    <w:p w14:paraId="4B922B63">
      <w:pPr>
        <w:spacing w:line="400" w:lineRule="exact"/>
        <w:ind w:firstLine="560" w:firstLineChars="200"/>
        <w:rPr>
          <w:b/>
          <w:bCs/>
          <w:color w:val="000000" w:themeColor="text1"/>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包1</w:t>
      </w:r>
      <w:r>
        <w:rPr>
          <w:rFonts w:hint="eastAsia"/>
          <w:b/>
          <w:bCs/>
          <w:color w:val="000000" w:themeColor="text1"/>
          <w14:textFill>
            <w14:solidFill>
              <w14:schemeClr w14:val="tx1"/>
            </w14:solidFill>
          </w14:textFill>
        </w:rPr>
        <w:t>：</w:t>
      </w:r>
    </w:p>
    <w:tbl>
      <w:tblPr>
        <w:tblStyle w:val="8"/>
        <w:tblW w:w="4929" w:type="pct"/>
        <w:jc w:val="center"/>
        <w:tblLayout w:type="fixed"/>
        <w:tblCellMar>
          <w:top w:w="0" w:type="dxa"/>
          <w:left w:w="108" w:type="dxa"/>
          <w:bottom w:w="0" w:type="dxa"/>
          <w:right w:w="108" w:type="dxa"/>
        </w:tblCellMar>
      </w:tblPr>
      <w:tblGrid>
        <w:gridCol w:w="1188"/>
        <w:gridCol w:w="2467"/>
        <w:gridCol w:w="1708"/>
        <w:gridCol w:w="2087"/>
        <w:gridCol w:w="1170"/>
        <w:gridCol w:w="1094"/>
      </w:tblGrid>
      <w:tr w14:paraId="49C3A27C">
        <w:tblPrEx>
          <w:tblCellMar>
            <w:top w:w="0" w:type="dxa"/>
            <w:left w:w="108" w:type="dxa"/>
            <w:bottom w:w="0" w:type="dxa"/>
            <w:right w:w="108" w:type="dxa"/>
          </w:tblCellMar>
        </w:tblPrEx>
        <w:trPr>
          <w:trHeight w:val="903" w:hRule="atLeast"/>
          <w:tblHeader/>
          <w:jc w:val="center"/>
        </w:trPr>
        <w:tc>
          <w:tcPr>
            <w:tcW w:w="612" w:type="pct"/>
            <w:tcBorders>
              <w:top w:val="single" w:color="000000" w:sz="4" w:space="0"/>
              <w:left w:val="single" w:color="000000" w:sz="4" w:space="0"/>
              <w:bottom w:val="single" w:color="000000" w:sz="4" w:space="0"/>
              <w:right w:val="single" w:color="000000" w:sz="4" w:space="0"/>
            </w:tcBorders>
            <w:vAlign w:val="center"/>
          </w:tcPr>
          <w:p w14:paraId="6160C8BF">
            <w:pPr>
              <w:tabs>
                <w:tab w:val="left" w:pos="0"/>
              </w:tabs>
              <w:wordWrap w:val="0"/>
              <w:topLinePunct/>
              <w:spacing w:line="400" w:lineRule="exact"/>
              <w:jc w:val="center"/>
              <w:textAlignment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序号</w:t>
            </w:r>
          </w:p>
        </w:tc>
        <w:tc>
          <w:tcPr>
            <w:tcW w:w="1270" w:type="pct"/>
            <w:tcBorders>
              <w:top w:val="single" w:color="000000" w:sz="4" w:space="0"/>
              <w:left w:val="single" w:color="000000" w:sz="4" w:space="0"/>
              <w:bottom w:val="single" w:color="000000" w:sz="4" w:space="0"/>
              <w:right w:val="single" w:color="000000" w:sz="4" w:space="0"/>
            </w:tcBorders>
            <w:vAlign w:val="center"/>
          </w:tcPr>
          <w:p w14:paraId="3D48C302">
            <w:pPr>
              <w:tabs>
                <w:tab w:val="left" w:pos="0"/>
              </w:tabs>
              <w:wordWrap w:val="0"/>
              <w:topLinePunct/>
              <w:spacing w:line="400" w:lineRule="exact"/>
              <w:jc w:val="center"/>
              <w:textAlignment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名称</w:t>
            </w:r>
          </w:p>
        </w:tc>
        <w:tc>
          <w:tcPr>
            <w:tcW w:w="879" w:type="pct"/>
            <w:tcBorders>
              <w:top w:val="single" w:color="000000" w:sz="4" w:space="0"/>
              <w:left w:val="single" w:color="000000" w:sz="4" w:space="0"/>
              <w:bottom w:val="single" w:color="000000" w:sz="4" w:space="0"/>
              <w:right w:val="single" w:color="000000" w:sz="4" w:space="0"/>
            </w:tcBorders>
            <w:vAlign w:val="center"/>
          </w:tcPr>
          <w:p w14:paraId="368CDAE8">
            <w:pPr>
              <w:tabs>
                <w:tab w:val="left" w:pos="0"/>
              </w:tabs>
              <w:wordWrap w:val="0"/>
              <w:topLinePunct/>
              <w:spacing w:line="400" w:lineRule="exact"/>
              <w:jc w:val="center"/>
              <w:textAlignment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是否为核心产品</w:t>
            </w:r>
          </w:p>
        </w:tc>
        <w:tc>
          <w:tcPr>
            <w:tcW w:w="1074" w:type="pct"/>
            <w:tcBorders>
              <w:top w:val="single" w:color="000000" w:sz="4" w:space="0"/>
              <w:left w:val="single" w:color="000000" w:sz="4" w:space="0"/>
              <w:bottom w:val="single" w:color="000000" w:sz="4" w:space="0"/>
              <w:right w:val="single" w:color="000000" w:sz="4" w:space="0"/>
            </w:tcBorders>
            <w:vAlign w:val="center"/>
          </w:tcPr>
          <w:p w14:paraId="08E049C5">
            <w:pPr>
              <w:tabs>
                <w:tab w:val="left" w:pos="0"/>
              </w:tabs>
              <w:wordWrap w:val="0"/>
              <w:spacing w:line="400" w:lineRule="exact"/>
              <w:jc w:val="center"/>
              <w:textAlignment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单价最高限价</w:t>
            </w:r>
          </w:p>
          <w:p w14:paraId="2573D163">
            <w:pPr>
              <w:tabs>
                <w:tab w:val="left" w:pos="0"/>
              </w:tabs>
              <w:wordWrap w:val="0"/>
              <w:spacing w:line="400" w:lineRule="exact"/>
              <w:jc w:val="center"/>
              <w:textAlignment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（万元）</w:t>
            </w:r>
          </w:p>
        </w:tc>
        <w:tc>
          <w:tcPr>
            <w:tcW w:w="602" w:type="pct"/>
            <w:tcBorders>
              <w:top w:val="single" w:color="000000" w:sz="4" w:space="0"/>
              <w:left w:val="single" w:color="000000" w:sz="4" w:space="0"/>
              <w:bottom w:val="single" w:color="000000" w:sz="4" w:space="0"/>
              <w:right w:val="single" w:color="000000" w:sz="4" w:space="0"/>
            </w:tcBorders>
            <w:noWrap/>
            <w:vAlign w:val="center"/>
          </w:tcPr>
          <w:p w14:paraId="1004E8B3">
            <w:pPr>
              <w:tabs>
                <w:tab w:val="left" w:pos="0"/>
              </w:tabs>
              <w:wordWrap w:val="0"/>
              <w:topLinePunct/>
              <w:spacing w:line="400" w:lineRule="exact"/>
              <w:jc w:val="center"/>
              <w:textAlignment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数量</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EACF810">
            <w:pPr>
              <w:tabs>
                <w:tab w:val="left" w:pos="0"/>
              </w:tabs>
              <w:wordWrap w:val="0"/>
              <w:topLinePunct/>
              <w:spacing w:line="400" w:lineRule="exact"/>
              <w:jc w:val="center"/>
              <w:textAlignment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单位</w:t>
            </w:r>
          </w:p>
        </w:tc>
      </w:tr>
      <w:tr w14:paraId="7B09B765">
        <w:tblPrEx>
          <w:tblCellMar>
            <w:top w:w="0" w:type="dxa"/>
            <w:left w:w="108" w:type="dxa"/>
            <w:bottom w:w="0" w:type="dxa"/>
            <w:right w:w="108" w:type="dxa"/>
          </w:tblCellMar>
        </w:tblPrEx>
        <w:trPr>
          <w:trHeight w:val="738"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14:paraId="25197635">
            <w:pPr>
              <w:tabs>
                <w:tab w:val="left" w:pos="0"/>
              </w:tabs>
              <w:wordWrap w:val="0"/>
              <w:topLinePunct/>
              <w:spacing w:line="400" w:lineRule="exact"/>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270" w:type="pct"/>
            <w:tcBorders>
              <w:top w:val="single" w:color="000000" w:sz="4" w:space="0"/>
              <w:left w:val="single" w:color="000000" w:sz="4" w:space="0"/>
              <w:bottom w:val="single" w:color="000000" w:sz="4" w:space="0"/>
              <w:right w:val="single" w:color="000000" w:sz="4" w:space="0"/>
            </w:tcBorders>
            <w:vAlign w:val="center"/>
          </w:tcPr>
          <w:p w14:paraId="38FD1A92">
            <w:pPr>
              <w:tabs>
                <w:tab w:val="left" w:pos="0"/>
              </w:tabs>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二人位公寓床（柜梯）</w:t>
            </w:r>
          </w:p>
        </w:tc>
        <w:tc>
          <w:tcPr>
            <w:tcW w:w="879" w:type="pct"/>
            <w:tcBorders>
              <w:top w:val="single" w:color="000000" w:sz="4" w:space="0"/>
              <w:left w:val="single" w:color="000000" w:sz="4" w:space="0"/>
              <w:bottom w:val="single" w:color="000000" w:sz="4" w:space="0"/>
              <w:right w:val="single" w:color="000000" w:sz="4" w:space="0"/>
            </w:tcBorders>
            <w:vAlign w:val="center"/>
          </w:tcPr>
          <w:p w14:paraId="0415C259">
            <w:pPr>
              <w:tabs>
                <w:tab w:val="left" w:pos="0"/>
              </w:tabs>
              <w:wordWrap w:val="0"/>
              <w:topLinePunct/>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是</w:t>
            </w:r>
          </w:p>
        </w:tc>
        <w:tc>
          <w:tcPr>
            <w:tcW w:w="1074" w:type="pct"/>
            <w:tcBorders>
              <w:top w:val="single" w:color="000000" w:sz="4" w:space="0"/>
              <w:left w:val="single" w:color="000000" w:sz="4" w:space="0"/>
              <w:bottom w:val="single" w:color="000000" w:sz="4" w:space="0"/>
              <w:right w:val="single" w:color="000000" w:sz="4" w:space="0"/>
            </w:tcBorders>
            <w:vAlign w:val="center"/>
          </w:tcPr>
          <w:p w14:paraId="58A0F843">
            <w:pPr>
              <w:tabs>
                <w:tab w:val="left" w:pos="0"/>
              </w:tabs>
              <w:wordWrap w:val="0"/>
              <w:spacing w:line="400" w:lineRule="exact"/>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0.538</w:t>
            </w:r>
          </w:p>
        </w:tc>
        <w:tc>
          <w:tcPr>
            <w:tcW w:w="602" w:type="pct"/>
            <w:tcBorders>
              <w:top w:val="single" w:color="000000" w:sz="4" w:space="0"/>
              <w:left w:val="single" w:color="000000" w:sz="4" w:space="0"/>
              <w:bottom w:val="single" w:color="000000" w:sz="4" w:space="0"/>
              <w:right w:val="single" w:color="000000" w:sz="4" w:space="0"/>
            </w:tcBorders>
            <w:noWrap/>
            <w:vAlign w:val="center"/>
          </w:tcPr>
          <w:p w14:paraId="66DE87D2">
            <w:pPr>
              <w:tabs>
                <w:tab w:val="left" w:pos="0"/>
              </w:tabs>
              <w:wordWrap w:val="0"/>
              <w:spacing w:line="400" w:lineRule="exact"/>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1600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489C4E3">
            <w:pPr>
              <w:tabs>
                <w:tab w:val="left" w:pos="0"/>
              </w:tabs>
              <w:wordWrap w:val="0"/>
              <w:spacing w:line="400" w:lineRule="exact"/>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套</w:t>
            </w:r>
          </w:p>
        </w:tc>
      </w:tr>
      <w:tr w14:paraId="585CD62A">
        <w:tblPrEx>
          <w:tblCellMar>
            <w:top w:w="0" w:type="dxa"/>
            <w:left w:w="108" w:type="dxa"/>
            <w:bottom w:w="0" w:type="dxa"/>
            <w:right w:w="108" w:type="dxa"/>
          </w:tblCellMar>
        </w:tblPrEx>
        <w:trPr>
          <w:trHeight w:val="738"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14:paraId="0FE8BF2E">
            <w:pPr>
              <w:tabs>
                <w:tab w:val="left" w:pos="0"/>
              </w:tabs>
              <w:wordWrap w:val="0"/>
              <w:topLinePunct/>
              <w:spacing w:line="400" w:lineRule="exact"/>
              <w:jc w:val="center"/>
              <w:textAlignment w:val="center"/>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2</w:t>
            </w:r>
          </w:p>
        </w:tc>
        <w:tc>
          <w:tcPr>
            <w:tcW w:w="1270" w:type="pct"/>
            <w:tcBorders>
              <w:top w:val="single" w:color="000000" w:sz="4" w:space="0"/>
              <w:left w:val="single" w:color="000000" w:sz="4" w:space="0"/>
              <w:bottom w:val="single" w:color="000000" w:sz="4" w:space="0"/>
              <w:right w:val="single" w:color="000000" w:sz="4" w:space="0"/>
            </w:tcBorders>
            <w:vAlign w:val="center"/>
          </w:tcPr>
          <w:p w14:paraId="5F029CA3">
            <w:pPr>
              <w:tabs>
                <w:tab w:val="left" w:pos="0"/>
              </w:tabs>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钢塑公寓椅</w:t>
            </w:r>
          </w:p>
        </w:tc>
        <w:tc>
          <w:tcPr>
            <w:tcW w:w="879" w:type="pct"/>
            <w:tcBorders>
              <w:top w:val="single" w:color="000000" w:sz="4" w:space="0"/>
              <w:left w:val="single" w:color="000000" w:sz="4" w:space="0"/>
              <w:bottom w:val="single" w:color="000000" w:sz="4" w:space="0"/>
              <w:right w:val="single" w:color="000000" w:sz="4" w:space="0"/>
            </w:tcBorders>
            <w:vAlign w:val="center"/>
          </w:tcPr>
          <w:p w14:paraId="128BE700">
            <w:pPr>
              <w:tabs>
                <w:tab w:val="left" w:pos="0"/>
              </w:tabs>
              <w:wordWrap w:val="0"/>
              <w:topLinePunct/>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否</w:t>
            </w:r>
          </w:p>
        </w:tc>
        <w:tc>
          <w:tcPr>
            <w:tcW w:w="1074" w:type="pct"/>
            <w:tcBorders>
              <w:top w:val="single" w:color="000000" w:sz="4" w:space="0"/>
              <w:left w:val="single" w:color="000000" w:sz="4" w:space="0"/>
              <w:bottom w:val="single" w:color="000000" w:sz="4" w:space="0"/>
              <w:right w:val="single" w:color="000000" w:sz="4" w:space="0"/>
            </w:tcBorders>
            <w:vAlign w:val="center"/>
          </w:tcPr>
          <w:p w14:paraId="16CC35E7">
            <w:pPr>
              <w:tabs>
                <w:tab w:val="left" w:pos="0"/>
              </w:tabs>
              <w:wordWrap w:val="0"/>
              <w:spacing w:line="400" w:lineRule="exact"/>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0.020</w:t>
            </w:r>
          </w:p>
        </w:tc>
        <w:tc>
          <w:tcPr>
            <w:tcW w:w="602" w:type="pct"/>
            <w:tcBorders>
              <w:top w:val="single" w:color="000000" w:sz="4" w:space="0"/>
              <w:left w:val="single" w:color="000000" w:sz="4" w:space="0"/>
              <w:bottom w:val="single" w:color="000000" w:sz="4" w:space="0"/>
              <w:right w:val="single" w:color="000000" w:sz="4" w:space="0"/>
            </w:tcBorders>
            <w:noWrap/>
            <w:vAlign w:val="center"/>
          </w:tcPr>
          <w:p w14:paraId="1944BF01">
            <w:pPr>
              <w:tabs>
                <w:tab w:val="left" w:pos="0"/>
              </w:tabs>
              <w:wordWrap w:val="0"/>
              <w:spacing w:line="400" w:lineRule="exact"/>
              <w:jc w:val="center"/>
              <w:textAlignment w:val="center"/>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325</w:t>
            </w:r>
            <w:r>
              <w:rPr>
                <w:rFonts w:hint="eastAsia" w:ascii="仿宋" w:hAnsi="仿宋" w:eastAsia="仿宋" w:cs="仿宋"/>
                <w:color w:val="000000" w:themeColor="text1"/>
                <w:sz w:val="24"/>
                <w:szCs w:val="24"/>
                <w14:textFill>
                  <w14:solidFill>
                    <w14:schemeClr w14:val="tx1"/>
                  </w14:solidFill>
                </w14:textFill>
              </w:rPr>
              <w:t>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489AE73">
            <w:pPr>
              <w:tabs>
                <w:tab w:val="left" w:pos="0"/>
              </w:tabs>
              <w:wordWrap w:val="0"/>
              <w:spacing w:line="400" w:lineRule="exact"/>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把</w:t>
            </w:r>
          </w:p>
        </w:tc>
      </w:tr>
    </w:tbl>
    <w:p w14:paraId="5705403C">
      <w:pPr>
        <w:spacing w:line="400" w:lineRule="exact"/>
        <w:ind w:firstLine="560" w:firstLineChars="200"/>
        <w:rPr>
          <w:rFonts w:ascii="黑体" w:hAnsi="黑体" w:eastAsia="黑体" w:cs="黑体"/>
          <w:color w:val="000000" w:themeColor="text1"/>
          <w:sz w:val="28"/>
          <w:szCs w:val="28"/>
          <w14:textFill>
            <w14:solidFill>
              <w14:schemeClr w14:val="tx1"/>
            </w14:solidFill>
          </w14:textFill>
        </w:rPr>
      </w:pPr>
    </w:p>
    <w:p w14:paraId="5F81DF2E">
      <w:pPr>
        <w:spacing w:line="400" w:lineRule="exact"/>
        <w:ind w:firstLine="560" w:firstLineChars="200"/>
        <w:rPr>
          <w:rFonts w:ascii="黑体" w:hAnsi="黑体" w:eastAsia="黑体" w:cs="黑体"/>
          <w:color w:val="000000" w:themeColor="text1"/>
          <w:sz w:val="28"/>
          <w:szCs w:val="28"/>
          <w14:textFill>
            <w14:solidFill>
              <w14:schemeClr w14:val="tx1"/>
            </w14:solidFill>
          </w14:textFill>
        </w:rPr>
      </w:pPr>
    </w:p>
    <w:p w14:paraId="5284C42C">
      <w:pPr>
        <w:spacing w:line="400" w:lineRule="exact"/>
        <w:ind w:firstLine="560" w:firstLineChars="200"/>
        <w:rPr>
          <w:rFonts w:ascii="黑体" w:hAnsi="黑体" w:eastAsia="黑体" w:cs="黑体"/>
          <w:color w:val="000000" w:themeColor="text1"/>
          <w:sz w:val="28"/>
          <w:szCs w:val="28"/>
          <w14:textFill>
            <w14:solidFill>
              <w14:schemeClr w14:val="tx1"/>
            </w14:solidFill>
          </w14:textFill>
        </w:rPr>
      </w:pPr>
    </w:p>
    <w:p w14:paraId="7AE8A12E">
      <w:pPr>
        <w:spacing w:line="400" w:lineRule="exact"/>
        <w:ind w:firstLine="560" w:firstLineChars="200"/>
        <w:rPr>
          <w:rFonts w:ascii="黑体" w:hAnsi="黑体" w:eastAsia="黑体" w:cs="黑体"/>
          <w:color w:val="000000" w:themeColor="text1"/>
          <w:sz w:val="28"/>
          <w:szCs w:val="28"/>
          <w14:textFill>
            <w14:solidFill>
              <w14:schemeClr w14:val="tx1"/>
            </w14:solidFill>
          </w14:textFill>
        </w:rPr>
      </w:pPr>
    </w:p>
    <w:p w14:paraId="2BC34462">
      <w:pPr>
        <w:pStyle w:val="2"/>
        <w:rPr>
          <w:color w:val="000000" w:themeColor="text1"/>
          <w14:textFill>
            <w14:solidFill>
              <w14:schemeClr w14:val="tx1"/>
            </w14:solidFill>
          </w14:textFill>
        </w:rPr>
      </w:pPr>
    </w:p>
    <w:p w14:paraId="03BAFD82">
      <w:pPr>
        <w:spacing w:line="400" w:lineRule="exact"/>
        <w:ind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包2：</w:t>
      </w:r>
    </w:p>
    <w:tbl>
      <w:tblPr>
        <w:tblStyle w:val="8"/>
        <w:tblW w:w="4929" w:type="pct"/>
        <w:jc w:val="center"/>
        <w:tblLayout w:type="fixed"/>
        <w:tblCellMar>
          <w:top w:w="0" w:type="dxa"/>
          <w:left w:w="108" w:type="dxa"/>
          <w:bottom w:w="0" w:type="dxa"/>
          <w:right w:w="108" w:type="dxa"/>
        </w:tblCellMar>
      </w:tblPr>
      <w:tblGrid>
        <w:gridCol w:w="1190"/>
        <w:gridCol w:w="2464"/>
        <w:gridCol w:w="1707"/>
        <w:gridCol w:w="2085"/>
        <w:gridCol w:w="1172"/>
        <w:gridCol w:w="1096"/>
      </w:tblGrid>
      <w:tr w14:paraId="579EB348">
        <w:tblPrEx>
          <w:tblCellMar>
            <w:top w:w="0" w:type="dxa"/>
            <w:left w:w="108" w:type="dxa"/>
            <w:bottom w:w="0" w:type="dxa"/>
            <w:right w:w="108" w:type="dxa"/>
          </w:tblCellMar>
        </w:tblPrEx>
        <w:trPr>
          <w:trHeight w:val="903" w:hRule="atLeast"/>
          <w:jc w:val="center"/>
        </w:trPr>
        <w:tc>
          <w:tcPr>
            <w:tcW w:w="1163" w:type="dxa"/>
            <w:tcBorders>
              <w:top w:val="single" w:color="000000" w:sz="4" w:space="0"/>
              <w:left w:val="single" w:color="000000" w:sz="4" w:space="0"/>
              <w:bottom w:val="single" w:color="000000" w:sz="4" w:space="0"/>
              <w:right w:val="single" w:color="000000" w:sz="4" w:space="0"/>
            </w:tcBorders>
            <w:vAlign w:val="center"/>
          </w:tcPr>
          <w:p w14:paraId="0B25BDB1">
            <w:pPr>
              <w:tabs>
                <w:tab w:val="left" w:pos="0"/>
              </w:tabs>
              <w:wordWrap w:val="0"/>
              <w:topLinePunct/>
              <w:spacing w:line="400" w:lineRule="exact"/>
              <w:jc w:val="center"/>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序号</w:t>
            </w:r>
          </w:p>
        </w:tc>
        <w:tc>
          <w:tcPr>
            <w:tcW w:w="2407" w:type="dxa"/>
            <w:tcBorders>
              <w:top w:val="single" w:color="000000" w:sz="4" w:space="0"/>
              <w:left w:val="nil"/>
              <w:bottom w:val="single" w:color="000000" w:sz="4" w:space="0"/>
              <w:right w:val="single" w:color="000000" w:sz="4" w:space="0"/>
            </w:tcBorders>
            <w:vAlign w:val="center"/>
          </w:tcPr>
          <w:p w14:paraId="41EAF7FB">
            <w:pPr>
              <w:tabs>
                <w:tab w:val="left" w:pos="0"/>
              </w:tabs>
              <w:wordWrap w:val="0"/>
              <w:topLinePunct/>
              <w:spacing w:line="400" w:lineRule="exact"/>
              <w:jc w:val="center"/>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名称</w:t>
            </w:r>
          </w:p>
        </w:tc>
        <w:tc>
          <w:tcPr>
            <w:tcW w:w="1668" w:type="dxa"/>
            <w:tcBorders>
              <w:top w:val="single" w:color="000000" w:sz="4" w:space="0"/>
              <w:left w:val="nil"/>
              <w:bottom w:val="single" w:color="000000" w:sz="4" w:space="0"/>
              <w:right w:val="single" w:color="000000" w:sz="4" w:space="0"/>
            </w:tcBorders>
            <w:vAlign w:val="center"/>
          </w:tcPr>
          <w:p w14:paraId="6E38395D">
            <w:pPr>
              <w:tabs>
                <w:tab w:val="left" w:pos="0"/>
              </w:tabs>
              <w:wordWrap w:val="0"/>
              <w:topLinePunct/>
              <w:spacing w:line="400" w:lineRule="exact"/>
              <w:jc w:val="center"/>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是否为核心产品</w:t>
            </w:r>
          </w:p>
        </w:tc>
        <w:tc>
          <w:tcPr>
            <w:tcW w:w="2037" w:type="dxa"/>
            <w:tcBorders>
              <w:top w:val="single" w:color="000000" w:sz="4" w:space="0"/>
              <w:left w:val="nil"/>
              <w:bottom w:val="single" w:color="000000" w:sz="4" w:space="0"/>
              <w:right w:val="single" w:color="000000" w:sz="4" w:space="0"/>
            </w:tcBorders>
            <w:vAlign w:val="center"/>
          </w:tcPr>
          <w:p w14:paraId="7DFD952D">
            <w:pPr>
              <w:tabs>
                <w:tab w:val="left" w:pos="0"/>
              </w:tabs>
              <w:wordWrap w:val="0"/>
              <w:spacing w:line="400" w:lineRule="exact"/>
              <w:jc w:val="center"/>
              <w:textAlignment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单价最高限价</w:t>
            </w:r>
          </w:p>
          <w:p w14:paraId="0450CAE0">
            <w:pPr>
              <w:tabs>
                <w:tab w:val="left" w:pos="0"/>
              </w:tabs>
              <w:wordWrap w:val="0"/>
              <w:spacing w:line="400" w:lineRule="exact"/>
              <w:jc w:val="center"/>
              <w:textAlignment w:val="center"/>
              <w:rPr>
                <w:rFonts w:ascii="宋体" w:hAnsi="宋体"/>
                <w:b/>
                <w:bCs/>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（万元）</w:t>
            </w:r>
          </w:p>
        </w:tc>
        <w:tc>
          <w:tcPr>
            <w:tcW w:w="1145" w:type="dxa"/>
            <w:tcBorders>
              <w:top w:val="single" w:color="000000" w:sz="4" w:space="0"/>
              <w:left w:val="nil"/>
              <w:bottom w:val="single" w:color="000000" w:sz="4" w:space="0"/>
              <w:right w:val="single" w:color="000000" w:sz="4" w:space="0"/>
            </w:tcBorders>
            <w:noWrap/>
            <w:vAlign w:val="center"/>
          </w:tcPr>
          <w:p w14:paraId="2A8399AA">
            <w:pPr>
              <w:tabs>
                <w:tab w:val="left" w:pos="0"/>
              </w:tabs>
              <w:wordWrap w:val="0"/>
              <w:topLinePunct/>
              <w:spacing w:line="400" w:lineRule="exact"/>
              <w:jc w:val="center"/>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数量</w:t>
            </w:r>
          </w:p>
        </w:tc>
        <w:tc>
          <w:tcPr>
            <w:tcW w:w="1071" w:type="dxa"/>
            <w:tcBorders>
              <w:top w:val="single" w:color="000000" w:sz="4" w:space="0"/>
              <w:left w:val="nil"/>
              <w:bottom w:val="single" w:color="000000" w:sz="4" w:space="0"/>
              <w:right w:val="single" w:color="000000" w:sz="4" w:space="0"/>
            </w:tcBorders>
            <w:noWrap/>
            <w:vAlign w:val="center"/>
          </w:tcPr>
          <w:p w14:paraId="15AAE1A2">
            <w:pPr>
              <w:tabs>
                <w:tab w:val="left" w:pos="0"/>
              </w:tabs>
              <w:wordWrap w:val="0"/>
              <w:topLinePunct/>
              <w:spacing w:line="400" w:lineRule="exact"/>
              <w:jc w:val="center"/>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单位</w:t>
            </w:r>
          </w:p>
        </w:tc>
      </w:tr>
      <w:tr w14:paraId="70EE152B">
        <w:tblPrEx>
          <w:tblCellMar>
            <w:top w:w="0" w:type="dxa"/>
            <w:left w:w="108" w:type="dxa"/>
            <w:bottom w:w="0" w:type="dxa"/>
            <w:right w:w="108" w:type="dxa"/>
          </w:tblCellMar>
        </w:tblPrEx>
        <w:trPr>
          <w:trHeight w:val="738" w:hRule="atLeast"/>
          <w:jc w:val="center"/>
        </w:trPr>
        <w:tc>
          <w:tcPr>
            <w:tcW w:w="1163" w:type="dxa"/>
            <w:tcBorders>
              <w:top w:val="single" w:color="000000" w:sz="4" w:space="0"/>
              <w:left w:val="single" w:color="000000" w:sz="4" w:space="0"/>
              <w:bottom w:val="single" w:color="000000" w:sz="4" w:space="0"/>
              <w:right w:val="single" w:color="000000" w:sz="4" w:space="0"/>
            </w:tcBorders>
            <w:noWrap/>
            <w:vAlign w:val="center"/>
          </w:tcPr>
          <w:p w14:paraId="072D9173">
            <w:pPr>
              <w:tabs>
                <w:tab w:val="left" w:pos="0"/>
              </w:tabs>
              <w:wordWrap w:val="0"/>
              <w:topLinePunct/>
              <w:spacing w:line="400" w:lineRule="exact"/>
              <w:jc w:val="center"/>
              <w:textAlignment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w:t>
            </w:r>
          </w:p>
        </w:tc>
        <w:tc>
          <w:tcPr>
            <w:tcW w:w="2407" w:type="dxa"/>
            <w:tcBorders>
              <w:top w:val="single" w:color="000000" w:sz="4" w:space="0"/>
              <w:left w:val="nil"/>
              <w:bottom w:val="single" w:color="000000" w:sz="4" w:space="0"/>
              <w:right w:val="single" w:color="000000" w:sz="4" w:space="0"/>
            </w:tcBorders>
            <w:vAlign w:val="center"/>
          </w:tcPr>
          <w:p w14:paraId="7A319A14">
            <w:pPr>
              <w:tabs>
                <w:tab w:val="left" w:pos="0"/>
              </w:tabs>
              <w:spacing w:line="40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二人位公寓床（挂梯）</w:t>
            </w:r>
          </w:p>
        </w:tc>
        <w:tc>
          <w:tcPr>
            <w:tcW w:w="1668" w:type="dxa"/>
            <w:tcBorders>
              <w:top w:val="single" w:color="000000" w:sz="4" w:space="0"/>
              <w:left w:val="nil"/>
              <w:bottom w:val="single" w:color="000000" w:sz="4" w:space="0"/>
              <w:right w:val="single" w:color="000000" w:sz="4" w:space="0"/>
            </w:tcBorders>
            <w:vAlign w:val="center"/>
          </w:tcPr>
          <w:p w14:paraId="5BF0DF09">
            <w:pPr>
              <w:tabs>
                <w:tab w:val="left" w:pos="0"/>
              </w:tabs>
              <w:wordWrap w:val="0"/>
              <w:topLinePunct/>
              <w:spacing w:line="40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是</w:t>
            </w:r>
          </w:p>
        </w:tc>
        <w:tc>
          <w:tcPr>
            <w:tcW w:w="2037" w:type="dxa"/>
            <w:tcBorders>
              <w:top w:val="single" w:color="000000" w:sz="4" w:space="0"/>
              <w:left w:val="nil"/>
              <w:bottom w:val="single" w:color="000000" w:sz="4" w:space="0"/>
              <w:right w:val="single" w:color="000000" w:sz="4" w:space="0"/>
            </w:tcBorders>
            <w:vAlign w:val="center"/>
          </w:tcPr>
          <w:p w14:paraId="42A93A28">
            <w:pPr>
              <w:tabs>
                <w:tab w:val="left" w:pos="0"/>
              </w:tabs>
              <w:wordWrap w:val="0"/>
              <w:spacing w:line="400" w:lineRule="exact"/>
              <w:jc w:val="center"/>
              <w:textAlignment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0.495</w:t>
            </w:r>
          </w:p>
        </w:tc>
        <w:tc>
          <w:tcPr>
            <w:tcW w:w="1145" w:type="dxa"/>
            <w:tcBorders>
              <w:top w:val="single" w:color="000000" w:sz="4" w:space="0"/>
              <w:left w:val="nil"/>
              <w:bottom w:val="single" w:color="000000" w:sz="4" w:space="0"/>
              <w:right w:val="single" w:color="000000" w:sz="4" w:space="0"/>
            </w:tcBorders>
            <w:noWrap/>
            <w:vAlign w:val="center"/>
          </w:tcPr>
          <w:p w14:paraId="7128DADC">
            <w:pPr>
              <w:tabs>
                <w:tab w:val="left" w:pos="0"/>
              </w:tabs>
              <w:wordWrap w:val="0"/>
              <w:spacing w:line="400" w:lineRule="exact"/>
              <w:jc w:val="center"/>
              <w:textAlignment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1600</w:t>
            </w:r>
          </w:p>
        </w:tc>
        <w:tc>
          <w:tcPr>
            <w:tcW w:w="1071" w:type="dxa"/>
            <w:tcBorders>
              <w:top w:val="single" w:color="000000" w:sz="4" w:space="0"/>
              <w:left w:val="nil"/>
              <w:bottom w:val="single" w:color="000000" w:sz="4" w:space="0"/>
              <w:right w:val="single" w:color="000000" w:sz="4" w:space="0"/>
            </w:tcBorders>
            <w:noWrap/>
            <w:vAlign w:val="center"/>
          </w:tcPr>
          <w:p w14:paraId="47610AF4">
            <w:pPr>
              <w:tabs>
                <w:tab w:val="left" w:pos="0"/>
              </w:tabs>
              <w:wordWrap w:val="0"/>
              <w:spacing w:line="400" w:lineRule="exact"/>
              <w:jc w:val="center"/>
              <w:textAlignment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套</w:t>
            </w:r>
          </w:p>
        </w:tc>
      </w:tr>
      <w:tr w14:paraId="21A530F6">
        <w:tblPrEx>
          <w:tblCellMar>
            <w:top w:w="0" w:type="dxa"/>
            <w:left w:w="108" w:type="dxa"/>
            <w:bottom w:w="0" w:type="dxa"/>
            <w:right w:w="108" w:type="dxa"/>
          </w:tblCellMar>
        </w:tblPrEx>
        <w:trPr>
          <w:trHeight w:val="738" w:hRule="atLeast"/>
          <w:jc w:val="center"/>
        </w:trPr>
        <w:tc>
          <w:tcPr>
            <w:tcW w:w="1163" w:type="dxa"/>
            <w:tcBorders>
              <w:top w:val="single" w:color="000000" w:sz="4" w:space="0"/>
              <w:left w:val="single" w:color="000000" w:sz="4" w:space="0"/>
              <w:bottom w:val="single" w:color="000000" w:sz="4" w:space="0"/>
              <w:right w:val="single" w:color="000000" w:sz="4" w:space="0"/>
            </w:tcBorders>
            <w:noWrap/>
            <w:vAlign w:val="center"/>
          </w:tcPr>
          <w:p w14:paraId="78AF0D5A">
            <w:pPr>
              <w:tabs>
                <w:tab w:val="left" w:pos="0"/>
              </w:tabs>
              <w:wordWrap w:val="0"/>
              <w:topLinePunct/>
              <w:spacing w:line="400" w:lineRule="exact"/>
              <w:jc w:val="center"/>
              <w:textAlignment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p>
        </w:tc>
        <w:tc>
          <w:tcPr>
            <w:tcW w:w="2407" w:type="dxa"/>
            <w:tcBorders>
              <w:top w:val="single" w:color="000000" w:sz="4" w:space="0"/>
              <w:left w:val="nil"/>
              <w:bottom w:val="single" w:color="000000" w:sz="4" w:space="0"/>
              <w:right w:val="single" w:color="000000" w:sz="4" w:space="0"/>
            </w:tcBorders>
            <w:vAlign w:val="center"/>
          </w:tcPr>
          <w:p w14:paraId="6EA023EA">
            <w:pPr>
              <w:tabs>
                <w:tab w:val="left" w:pos="0"/>
              </w:tabs>
              <w:spacing w:line="40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钢塑公寓椅</w:t>
            </w:r>
          </w:p>
        </w:tc>
        <w:tc>
          <w:tcPr>
            <w:tcW w:w="1668" w:type="dxa"/>
            <w:tcBorders>
              <w:top w:val="single" w:color="000000" w:sz="4" w:space="0"/>
              <w:left w:val="nil"/>
              <w:bottom w:val="single" w:color="000000" w:sz="4" w:space="0"/>
              <w:right w:val="single" w:color="000000" w:sz="4" w:space="0"/>
            </w:tcBorders>
            <w:vAlign w:val="center"/>
          </w:tcPr>
          <w:p w14:paraId="108EA958">
            <w:pPr>
              <w:tabs>
                <w:tab w:val="left" w:pos="0"/>
              </w:tabs>
              <w:wordWrap w:val="0"/>
              <w:topLinePunct/>
              <w:spacing w:line="400" w:lineRule="exact"/>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否</w:t>
            </w:r>
          </w:p>
        </w:tc>
        <w:tc>
          <w:tcPr>
            <w:tcW w:w="2037" w:type="dxa"/>
            <w:tcBorders>
              <w:top w:val="single" w:color="000000" w:sz="4" w:space="0"/>
              <w:left w:val="nil"/>
              <w:bottom w:val="single" w:color="000000" w:sz="4" w:space="0"/>
              <w:right w:val="single" w:color="000000" w:sz="4" w:space="0"/>
            </w:tcBorders>
            <w:vAlign w:val="center"/>
          </w:tcPr>
          <w:p w14:paraId="4C0346A5">
            <w:pPr>
              <w:tabs>
                <w:tab w:val="left" w:pos="0"/>
              </w:tabs>
              <w:wordWrap w:val="0"/>
              <w:spacing w:line="400" w:lineRule="exact"/>
              <w:jc w:val="center"/>
              <w:textAlignment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0.020</w:t>
            </w:r>
          </w:p>
        </w:tc>
        <w:tc>
          <w:tcPr>
            <w:tcW w:w="1145" w:type="dxa"/>
            <w:tcBorders>
              <w:top w:val="single" w:color="000000" w:sz="4" w:space="0"/>
              <w:left w:val="nil"/>
              <w:bottom w:val="single" w:color="000000" w:sz="4" w:space="0"/>
              <w:right w:val="single" w:color="000000" w:sz="4" w:space="0"/>
            </w:tcBorders>
            <w:noWrap/>
            <w:vAlign w:val="center"/>
          </w:tcPr>
          <w:p w14:paraId="34BA1231">
            <w:pPr>
              <w:tabs>
                <w:tab w:val="left" w:pos="0"/>
              </w:tabs>
              <w:wordWrap w:val="0"/>
              <w:spacing w:line="400" w:lineRule="exact"/>
              <w:jc w:val="center"/>
              <w:textAlignment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325</w:t>
            </w:r>
            <w:r>
              <w:rPr>
                <w:rFonts w:hint="eastAsia" w:ascii="仿宋" w:hAnsi="仿宋" w:eastAsia="仿宋"/>
                <w:color w:val="000000" w:themeColor="text1"/>
                <w:sz w:val="24"/>
                <w:szCs w:val="24"/>
                <w14:textFill>
                  <w14:solidFill>
                    <w14:schemeClr w14:val="tx1"/>
                  </w14:solidFill>
                </w14:textFill>
              </w:rPr>
              <w:t>5</w:t>
            </w:r>
          </w:p>
        </w:tc>
        <w:tc>
          <w:tcPr>
            <w:tcW w:w="1071" w:type="dxa"/>
            <w:tcBorders>
              <w:top w:val="single" w:color="000000" w:sz="4" w:space="0"/>
              <w:left w:val="nil"/>
              <w:bottom w:val="single" w:color="000000" w:sz="4" w:space="0"/>
              <w:right w:val="single" w:color="000000" w:sz="4" w:space="0"/>
            </w:tcBorders>
            <w:noWrap/>
            <w:vAlign w:val="center"/>
          </w:tcPr>
          <w:p w14:paraId="6158AB01">
            <w:pPr>
              <w:tabs>
                <w:tab w:val="left" w:pos="0"/>
              </w:tabs>
              <w:wordWrap w:val="0"/>
              <w:spacing w:line="400" w:lineRule="exact"/>
              <w:jc w:val="center"/>
              <w:textAlignment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把</w:t>
            </w:r>
          </w:p>
        </w:tc>
      </w:tr>
    </w:tbl>
    <w:p w14:paraId="0A8B3976">
      <w:pPr>
        <w:spacing w:line="400" w:lineRule="exact"/>
        <w:ind w:firstLine="560" w:firstLineChars="200"/>
        <w:rPr>
          <w:rFonts w:ascii="黑体" w:hAnsi="黑体" w:eastAsia="黑体" w:cs="黑体"/>
          <w:color w:val="000000" w:themeColor="text1"/>
          <w:sz w:val="28"/>
          <w:szCs w:val="28"/>
          <w14:textFill>
            <w14:solidFill>
              <w14:schemeClr w14:val="tx1"/>
            </w14:solidFill>
          </w14:textFill>
        </w:rPr>
      </w:pPr>
    </w:p>
    <w:p w14:paraId="3D18B770">
      <w:pPr>
        <w:numPr>
          <w:ilvl w:val="0"/>
          <w:numId w:val="1"/>
        </w:numPr>
        <w:spacing w:line="400" w:lineRule="exact"/>
        <w:ind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主要技术要求</w:t>
      </w:r>
    </w:p>
    <w:p w14:paraId="02CABF5F">
      <w:pPr>
        <w:spacing w:line="400" w:lineRule="exact"/>
        <w:ind w:firstLine="560" w:firstLineChars="200"/>
        <w:rPr>
          <w:color w:val="000000" w:themeColor="text1"/>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包1</w:t>
      </w:r>
      <w:r>
        <w:rPr>
          <w:rFonts w:hint="eastAsia"/>
          <w:b/>
          <w:bCs/>
          <w:color w:val="000000" w:themeColor="text1"/>
          <w14:textFill>
            <w14:solidFill>
              <w14:schemeClr w14:val="tx1"/>
            </w14:solidFill>
          </w14:textFill>
        </w:rPr>
        <w:t>：</w:t>
      </w:r>
      <w:r>
        <w:rPr>
          <w:rFonts w:hint="eastAsia" w:ascii="黑体" w:hAnsi="黑体" w:eastAsia="黑体" w:cs="黑体"/>
          <w:color w:val="000000" w:themeColor="text1"/>
          <w:sz w:val="28"/>
          <w:szCs w:val="28"/>
          <w14:textFill>
            <w14:solidFill>
              <w14:schemeClr w14:val="tx1"/>
            </w14:solidFill>
          </w14:textFill>
        </w:rPr>
        <w:t>主要技术要求</w:t>
      </w:r>
    </w:p>
    <w:p w14:paraId="3C25ADD8">
      <w:pPr>
        <w:pStyle w:val="11"/>
        <w:rPr>
          <w:color w:val="000000" w:themeColor="text1"/>
          <w14:textFill>
            <w14:solidFill>
              <w14:schemeClr w14:val="tx1"/>
            </w14:solidFill>
          </w14:textFill>
        </w:rPr>
      </w:pPr>
      <w:r>
        <w:rPr>
          <w:rFonts w:hint="eastAsia" w:ascii="仿宋_GB2312" w:hAnsi="仿宋_GB2312"/>
          <w:color w:val="000000" w:themeColor="text1"/>
          <w14:textFill>
            <w14:solidFill>
              <w14:schemeClr w14:val="tx1"/>
            </w14:solidFill>
          </w14:textFill>
        </w:rPr>
        <w:t>1、</w:t>
      </w:r>
      <w:r>
        <w:rPr>
          <w:rFonts w:ascii="仿宋_GB2312" w:hAnsi="仿宋_GB2312"/>
          <w:color w:val="000000" w:themeColor="text1"/>
          <w14:textFill>
            <w14:solidFill>
              <w14:schemeClr w14:val="tx1"/>
            </w14:solidFill>
          </w14:textFill>
        </w:rPr>
        <w:t>标的名称：二人位公寓床（柜梯）</w:t>
      </w:r>
    </w:p>
    <w:tbl>
      <w:tblPr>
        <w:tblStyle w:val="8"/>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3"/>
        <w:gridCol w:w="6"/>
        <w:gridCol w:w="1698"/>
        <w:gridCol w:w="7516"/>
      </w:tblGrid>
      <w:tr w14:paraId="0EE375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703" w:type="dxa"/>
            <w:tcBorders>
              <w:top w:val="single" w:color="auto" w:sz="2" w:space="0"/>
              <w:left w:val="single" w:color="auto" w:sz="2" w:space="0"/>
              <w:bottom w:val="single" w:color="auto" w:sz="2" w:space="0"/>
              <w:right w:val="single" w:color="auto" w:sz="2" w:space="0"/>
            </w:tcBorders>
            <w:vAlign w:val="center"/>
          </w:tcPr>
          <w:p w14:paraId="0C8B0A1E">
            <w:pPr>
              <w:pStyle w:val="11"/>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序号</w:t>
            </w:r>
          </w:p>
        </w:tc>
        <w:tc>
          <w:tcPr>
            <w:tcW w:w="1704" w:type="dxa"/>
            <w:gridSpan w:val="2"/>
            <w:tcBorders>
              <w:top w:val="single" w:color="auto" w:sz="2" w:space="0"/>
              <w:left w:val="single" w:color="auto" w:sz="2" w:space="0"/>
              <w:bottom w:val="single" w:color="auto" w:sz="2" w:space="0"/>
              <w:right w:val="single" w:color="auto" w:sz="2" w:space="0"/>
            </w:tcBorders>
            <w:vAlign w:val="center"/>
          </w:tcPr>
          <w:p w14:paraId="7555C165">
            <w:pPr>
              <w:pStyle w:val="11"/>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技术要求名称</w:t>
            </w:r>
          </w:p>
        </w:tc>
        <w:tc>
          <w:tcPr>
            <w:tcW w:w="7516" w:type="dxa"/>
            <w:tcBorders>
              <w:top w:val="single" w:color="auto" w:sz="2" w:space="0"/>
              <w:left w:val="single" w:color="auto" w:sz="2" w:space="0"/>
              <w:bottom w:val="single" w:color="auto" w:sz="2" w:space="0"/>
              <w:right w:val="single" w:color="auto" w:sz="2" w:space="0"/>
            </w:tcBorders>
            <w:vAlign w:val="center"/>
          </w:tcPr>
          <w:p w14:paraId="75E936AD">
            <w:pPr>
              <w:pStyle w:val="11"/>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技术参数与性能指标</w:t>
            </w:r>
          </w:p>
        </w:tc>
      </w:tr>
      <w:tr w14:paraId="22BB9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2" w:space="0"/>
              <w:bottom w:val="single" w:color="auto" w:sz="2" w:space="0"/>
              <w:right w:val="single" w:color="auto" w:sz="2" w:space="0"/>
            </w:tcBorders>
            <w:vAlign w:val="center"/>
          </w:tcPr>
          <w:p w14:paraId="4729E833">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w:t>
            </w:r>
          </w:p>
        </w:tc>
        <w:tc>
          <w:tcPr>
            <w:tcW w:w="1704" w:type="dxa"/>
            <w:gridSpan w:val="2"/>
            <w:tcBorders>
              <w:top w:val="single" w:color="auto" w:sz="2" w:space="0"/>
              <w:left w:val="single" w:color="auto" w:sz="2" w:space="0"/>
              <w:bottom w:val="single" w:color="auto" w:sz="2" w:space="0"/>
              <w:right w:val="single" w:color="auto" w:sz="2" w:space="0"/>
            </w:tcBorders>
            <w:vAlign w:val="center"/>
          </w:tcPr>
          <w:p w14:paraId="62958B28">
            <w:pPr>
              <w:pStyle w:val="11"/>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二人位公寓床（柜梯）</w:t>
            </w:r>
          </w:p>
        </w:tc>
        <w:tc>
          <w:tcPr>
            <w:tcW w:w="7516" w:type="dxa"/>
            <w:tcBorders>
              <w:top w:val="single" w:color="auto" w:sz="2" w:space="0"/>
              <w:left w:val="single" w:color="auto" w:sz="2" w:space="0"/>
              <w:bottom w:val="single" w:color="auto" w:sz="2" w:space="0"/>
              <w:right w:val="single" w:color="auto" w:sz="2" w:space="0"/>
            </w:tcBorders>
          </w:tcPr>
          <w:p w14:paraId="1E0872B9">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二人位公寓床（柜梯）</w:t>
            </w:r>
          </w:p>
          <w:p w14:paraId="4525D9FB">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1.规格要求：</w:t>
            </w:r>
            <w:r>
              <w:rPr>
                <w:rFonts w:hint="eastAsia" w:ascii="仿宋" w:hAnsi="仿宋" w:eastAsia="仿宋" w:cs="仿宋"/>
                <w:color w:val="000000" w:themeColor="text1"/>
                <w14:textFill>
                  <w14:solidFill>
                    <w14:schemeClr w14:val="tx1"/>
                  </w14:solidFill>
                </w14:textFill>
              </w:rPr>
              <w:t>长4630mm×宽900mm×高2950mm（偏差±</w:t>
            </w:r>
            <w:r>
              <w:rPr>
                <w:rFonts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0mm）。</w:t>
            </w:r>
          </w:p>
          <w:p w14:paraId="5828438E">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2.配置要求：</w:t>
            </w:r>
            <w:r>
              <w:rPr>
                <w:rFonts w:hint="eastAsia" w:ascii="仿宋" w:hAnsi="仿宋" w:eastAsia="仿宋" w:cs="仿宋"/>
                <w:color w:val="000000" w:themeColor="text1"/>
                <w14:textFill>
                  <w14:solidFill>
                    <w14:schemeClr w14:val="tx1"/>
                  </w14:solidFill>
                </w14:textFill>
              </w:rPr>
              <w:t>二人位公寓床（柜梯）由2个上铺、蚊帐架及实木挂衣桩、钢塑床头立挡、钢木床尾立挡、床下钢木桌柜架（含衣柜及柜下抽屉、正面储物吊柜、正面及侧面书架、写字桌、鞋柜）、实木多层胶合床铺板、钢木柜梯等部件构成。柜、抽门上激光打印“使用功能引导标识”。金属件经除油除锈后喷涂热固性环氧树脂粉末高温固化防锈处理，外露管口端应封闭，地面接触面安装塑料脚垫。</w:t>
            </w:r>
          </w:p>
          <w:p w14:paraId="1BB48278">
            <w:pPr>
              <w:pStyle w:val="11"/>
              <w:ind w:firstLine="241"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3.钢塑床铺基本要求</w:t>
            </w:r>
          </w:p>
          <w:p w14:paraId="76FDEDF0">
            <w:pPr>
              <w:pStyle w:val="11"/>
              <w:ind w:firstLine="240" w:firstLineChars="10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3.1床铺前后横梁间间距≥</w:t>
            </w:r>
            <w:r>
              <w:rPr>
                <w:rFonts w:ascii="仿宋" w:hAnsi="仿宋" w:eastAsia="仿宋" w:cs="仿宋"/>
                <w:color w:val="000000" w:themeColor="text1"/>
                <w14:textFill>
                  <w14:solidFill>
                    <w14:schemeClr w14:val="tx1"/>
                  </w14:solidFill>
                </w14:textFill>
              </w:rPr>
              <w:t>800</w:t>
            </w:r>
            <w:r>
              <w:rPr>
                <w:rFonts w:hint="eastAsia" w:ascii="仿宋" w:hAnsi="仿宋" w:eastAsia="仿宋" w:cs="仿宋"/>
                <w:color w:val="000000" w:themeColor="text1"/>
                <w14:textFill>
                  <w14:solidFill>
                    <w14:schemeClr w14:val="tx1"/>
                  </w14:solidFill>
                </w14:textFill>
              </w:rPr>
              <w:t>mm。横梁为多边型焊管截面长≥85mm×宽≥40mm×壁厚≥1.2mm，横梁闭合面一条焊缝，多边型管样式不做指定要求。</w:t>
            </w:r>
            <w:bookmarkStart w:id="4" w:name="_Hlk224483978"/>
            <w:r>
              <w:rPr>
                <w:rFonts w:hint="eastAsia" w:ascii="仿宋" w:hAnsi="仿宋" w:eastAsia="仿宋" w:cs="仿宋"/>
                <w:color w:val="000000" w:themeColor="text1"/>
                <w14:textFill>
                  <w14:solidFill>
                    <w14:schemeClr w14:val="tx1"/>
                  </w14:solidFill>
                </w14:textFill>
              </w:rPr>
              <w:t>横梁安全要求人员站立时头部与横梁接触面</w:t>
            </w:r>
            <w:r>
              <w:rPr>
                <w:rFonts w:hint="eastAsia" w:ascii="仿宋" w:hAnsi="仿宋" w:eastAsia="仿宋" w:cs="仿宋"/>
                <w:color w:val="000000" w:themeColor="text1"/>
                <w:lang w:val="en-US" w:eastAsia="zh-CN"/>
                <w14:textFill>
                  <w14:solidFill>
                    <w14:schemeClr w14:val="tx1"/>
                  </w14:solidFill>
                </w14:textFill>
              </w:rPr>
              <w:t>做</w:t>
            </w:r>
            <w:r>
              <w:rPr>
                <w:rFonts w:hint="eastAsia" w:ascii="仿宋" w:hAnsi="仿宋" w:eastAsia="仿宋" w:cs="仿宋"/>
                <w:color w:val="000000" w:themeColor="text1"/>
                <w14:textFill>
                  <w14:solidFill>
                    <w14:schemeClr w14:val="tx1"/>
                  </w14:solidFill>
                </w14:textFill>
              </w:rPr>
              <w:t>大弧形安全倒角，强度要求横梁正面设置总长≥1600mm不外凸加强筋，功能要求</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横梁正面</w:t>
            </w:r>
            <w:r>
              <w:rPr>
                <w:rFonts w:hint="eastAsia" w:ascii="仿宋" w:hAnsi="仿宋" w:eastAsia="仿宋" w:cs="仿宋"/>
                <w:color w:val="000000" w:themeColor="text1"/>
                <w:lang w:val="en-US" w:eastAsia="zh-CN"/>
                <w14:textFill>
                  <w14:solidFill>
                    <w14:schemeClr w14:val="tx1"/>
                  </w14:solidFill>
                </w14:textFill>
              </w:rPr>
              <w:t>设置</w:t>
            </w:r>
            <w:r>
              <w:rPr>
                <w:rFonts w:hint="eastAsia" w:ascii="仿宋" w:hAnsi="仿宋" w:eastAsia="仿宋" w:cs="仿宋"/>
                <w:color w:val="000000" w:themeColor="text1"/>
                <w14:textFill>
                  <w14:solidFill>
                    <w14:schemeClr w14:val="tx1"/>
                  </w14:solidFill>
                </w14:textFill>
              </w:rPr>
              <w:t>长≥50mm×宽≥30mm名片卡槽。</w:t>
            </w:r>
            <w:bookmarkEnd w:id="4"/>
          </w:p>
          <w:p w14:paraId="7691B8F9">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3.2正面</w:t>
            </w:r>
            <w:bookmarkStart w:id="5" w:name="OLE_LINK19"/>
            <w:r>
              <w:rPr>
                <w:rFonts w:hint="eastAsia" w:ascii="仿宋" w:hAnsi="仿宋" w:eastAsia="仿宋" w:cs="仿宋"/>
                <w:color w:val="000000" w:themeColor="text1"/>
                <w14:textFill>
                  <w14:solidFill>
                    <w14:schemeClr w14:val="tx1"/>
                  </w14:solidFill>
                </w14:textFill>
              </w:rPr>
              <w:t>栏</w:t>
            </w:r>
            <w:bookmarkEnd w:id="5"/>
            <w:r>
              <w:rPr>
                <w:rFonts w:hint="eastAsia" w:ascii="仿宋" w:hAnsi="仿宋" w:eastAsia="仿宋" w:cs="仿宋"/>
                <w:color w:val="000000" w:themeColor="text1"/>
                <w14:textFill>
                  <w14:solidFill>
                    <w14:schemeClr w14:val="tx1"/>
                  </w14:solidFill>
                </w14:textFill>
              </w:rPr>
              <w:t>板高密度聚乙烯材料中空吹塑成型（外观样式不做指定要求），栏板长≥1795mm，高≥355mm，厚≥30mm。栏板强度要求：栏板面设置不低于</w:t>
            </w:r>
            <w:r>
              <w:rPr>
                <w:rFonts w:hint="eastAsia" w:ascii="仿宋" w:hAnsi="仿宋" w:eastAsia="仿宋" w:cs="仿宋"/>
                <w:color w:val="000000" w:themeColor="text1"/>
                <w:lang w:val="en-US" w:eastAsia="zh-CN"/>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条每条长≥</w:t>
            </w:r>
            <w:r>
              <w:rPr>
                <w:rFonts w:ascii="仿宋" w:hAnsi="仿宋" w:eastAsia="仿宋" w:cs="仿宋"/>
                <w:color w:val="000000" w:themeColor="text1"/>
                <w14:textFill>
                  <w14:solidFill>
                    <w14:schemeClr w14:val="tx1"/>
                  </w14:solidFill>
                </w14:textFill>
              </w:rPr>
              <w:t>1200mm</w:t>
            </w:r>
            <w:r>
              <w:rPr>
                <w:rFonts w:hint="eastAsia" w:ascii="仿宋" w:hAnsi="仿宋" w:eastAsia="仿宋" w:cs="仿宋"/>
                <w:color w:val="000000" w:themeColor="text1"/>
                <w14:textFill>
                  <w14:solidFill>
                    <w14:schemeClr w14:val="tx1"/>
                  </w14:solidFill>
                </w14:textFill>
              </w:rPr>
              <w:t>的</w:t>
            </w:r>
            <w:r>
              <w:rPr>
                <w:rFonts w:hint="eastAsia" w:ascii="仿宋" w:hAnsi="仿宋" w:eastAsia="仿宋" w:cs="仿宋"/>
                <w:color w:val="000000" w:themeColor="text1"/>
                <w:lang w:val="en-US" w:eastAsia="zh-CN"/>
                <w14:textFill>
                  <w14:solidFill>
                    <w14:schemeClr w14:val="tx1"/>
                  </w14:solidFill>
                </w14:textFill>
              </w:rPr>
              <w:t>不外凸</w:t>
            </w:r>
            <w:r>
              <w:rPr>
                <w:rFonts w:hint="eastAsia" w:ascii="仿宋" w:hAnsi="仿宋" w:eastAsia="仿宋" w:cs="仿宋"/>
                <w:color w:val="000000" w:themeColor="text1"/>
                <w14:textFill>
                  <w14:solidFill>
                    <w14:schemeClr w14:val="tx1"/>
                  </w14:solidFill>
                </w14:textFill>
              </w:rPr>
              <w:t>加强筋，栏板正面、背面、顶边均覆盖加强筋，栏板顶</w:t>
            </w:r>
            <w:bookmarkStart w:id="6" w:name="OLE_LINK9"/>
            <w:bookmarkStart w:id="7" w:name="OLE_LINK10"/>
            <w:r>
              <w:rPr>
                <w:rFonts w:hint="eastAsia" w:ascii="仿宋" w:hAnsi="仿宋" w:eastAsia="仿宋" w:cs="仿宋"/>
                <w:color w:val="000000" w:themeColor="text1"/>
                <w14:textFill>
                  <w14:solidFill>
                    <w14:schemeClr w14:val="tx1"/>
                  </w14:solidFill>
                </w14:textFill>
              </w:rPr>
              <w:t>边</w:t>
            </w:r>
            <w:bookmarkEnd w:id="6"/>
            <w:bookmarkEnd w:id="7"/>
            <w:r>
              <w:rPr>
                <w:rFonts w:hint="eastAsia" w:ascii="仿宋" w:hAnsi="仿宋" w:eastAsia="仿宋" w:cs="仿宋"/>
                <w:color w:val="000000" w:themeColor="text1"/>
                <w14:textFill>
                  <w14:solidFill>
                    <w14:schemeClr w14:val="tx1"/>
                  </w14:solidFill>
                </w14:textFill>
              </w:rPr>
              <w:t>框穿金属圆管增加强度；栏板安全功能要求：栏板靠上侧设置长≥700mm，高≥20mm的扶手孔，栏板顶边及两侧边圆弧倒棱无锐角</w:t>
            </w:r>
            <w:bookmarkStart w:id="16" w:name="_GoBack"/>
            <w:bookmarkEnd w:id="16"/>
            <w:r>
              <w:rPr>
                <w:rFonts w:hint="eastAsia" w:ascii="仿宋" w:hAnsi="仿宋" w:eastAsia="仿宋" w:cs="仿宋"/>
                <w:color w:val="000000" w:themeColor="text1"/>
                <w14:textFill>
                  <w14:solidFill>
                    <w14:schemeClr w14:val="tx1"/>
                  </w14:solidFill>
                </w14:textFill>
              </w:rPr>
              <w:t>处理；离栏板底端高90±10mm处设置同栏板一体成型的</w:t>
            </w:r>
            <w:r>
              <w:rPr>
                <w:rFonts w:hint="eastAsia" w:ascii="仿宋" w:hAnsi="仿宋" w:eastAsia="仿宋" w:cs="仿宋"/>
                <w:color w:val="000000" w:themeColor="text1"/>
                <w:lang w:val="en-US" w:eastAsia="zh-CN"/>
                <w14:textFill>
                  <w14:solidFill>
                    <w14:schemeClr w14:val="tx1"/>
                  </w14:solidFill>
                </w14:textFill>
              </w:rPr>
              <w:t>床（被）褥</w:t>
            </w:r>
            <w:r>
              <w:rPr>
                <w:rFonts w:hint="eastAsia" w:ascii="仿宋" w:hAnsi="仿宋" w:eastAsia="仿宋" w:cs="仿宋"/>
                <w:color w:val="000000" w:themeColor="text1"/>
                <w14:textFill>
                  <w14:solidFill>
                    <w14:schemeClr w14:val="tx1"/>
                  </w14:solidFill>
                </w14:textFill>
              </w:rPr>
              <w:t>高度警示线和字；不低于四根钢管穿入中空护栏内部螺丝固定稳固。</w:t>
            </w:r>
          </w:p>
          <w:p w14:paraId="5F1AFF88">
            <w:pPr>
              <w:pStyle w:val="11"/>
              <w:ind w:firstLine="240" w:firstLineChars="100"/>
              <w:rPr>
                <w:rFonts w:ascii="仿宋" w:hAnsi="仿宋" w:eastAsia="仿宋" w:cs="仿宋"/>
                <w:color w:val="000000" w:themeColor="text1"/>
                <w:sz w:val="20"/>
                <w:szCs w:val="20"/>
                <w14:textFill>
                  <w14:solidFill>
                    <w14:schemeClr w14:val="tx1"/>
                  </w14:solidFill>
                </w14:textFill>
              </w:rPr>
            </w:pPr>
            <w:bookmarkStart w:id="8" w:name="OLE_LINK8"/>
            <w:r>
              <w:rPr>
                <w:rFonts w:hint="eastAsia" w:ascii="仿宋" w:hAnsi="仿宋" w:eastAsia="仿宋" w:cs="仿宋"/>
                <w:color w:val="000000" w:themeColor="text1"/>
                <w14:textFill>
                  <w14:solidFill>
                    <w14:schemeClr w14:val="tx1"/>
                  </w14:solidFill>
                </w14:textFill>
              </w:rPr>
              <w:t>3.</w:t>
            </w:r>
            <w:r>
              <w:rPr>
                <w:rFonts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横梁与立柱采用≥1.5mm冷轧钢板成型的弧形卡扣连接，卡扣挂齿≥3个。床铺板实木多层胶合板厚≥9mm。悬浮式蚊帐架采用≥1.2mm钢管成型，蚊帐架后方设置挂衣桩。床换壁厚≥1.2mm，数量≥7根。</w:t>
            </w:r>
            <w:bookmarkEnd w:id="8"/>
            <w:r>
              <w:rPr>
                <w:rFonts w:hint="eastAsia" w:ascii="仿宋" w:hAnsi="仿宋" w:eastAsia="仿宋" w:cs="仿宋"/>
                <w:color w:val="000000" w:themeColor="text1"/>
                <w14:textFill>
                  <w14:solidFill>
                    <w14:schemeClr w14:val="tx1"/>
                  </w14:solidFill>
                </w14:textFill>
              </w:rPr>
              <w:t xml:space="preserve">                                    </w:t>
            </w:r>
          </w:p>
          <w:p w14:paraId="29C9E032">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4.钢塑床头立挡基本要求</w:t>
            </w:r>
          </w:p>
          <w:p w14:paraId="6D90507E">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4.1立柱通顶，床挡立柱间净空规格≥775mm。立柱多边形焊管截面长≥60mm×宽≥62mm×壁厚≥1.2mm，型材闭合面一条焊缝，多边形管样式不做指定要求；安全要求立柱内侧与床梁连接面为宽≥10mm弧形防碰。</w:t>
            </w:r>
          </w:p>
          <w:p w14:paraId="015DD99D">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r>
              <w:rPr>
                <w:rFonts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床头栏板高密度聚乙烯材料中空吹塑成型（外观样式不做要求），床头栏板长≥775mm，高≥355mm，厚≥30mm；安全功能要求：栏板面设置长≥315mm，高≥35mm椭圆扶手孔，孔四周圆弧处理；强度要求栏板正面、背面设置不低于</w:t>
            </w:r>
            <w:r>
              <w:rPr>
                <w:rFonts w:hint="eastAsia" w:ascii="仿宋" w:hAnsi="仿宋" w:eastAsia="仿宋" w:cs="仿宋"/>
                <w:color w:val="000000" w:themeColor="text1"/>
                <w:lang w:val="en-US" w:eastAsia="zh-CN"/>
                <w14:textFill>
                  <w14:solidFill>
                    <w14:schemeClr w14:val="tx1"/>
                  </w14:solidFill>
                </w14:textFill>
              </w:rPr>
              <w:t>4</w:t>
            </w:r>
            <w:r>
              <w:rPr>
                <w:rFonts w:hint="eastAsia" w:ascii="仿宋" w:hAnsi="仿宋" w:eastAsia="仿宋" w:cs="仿宋"/>
                <w:color w:val="000000" w:themeColor="text1"/>
                <w14:textFill>
                  <w14:solidFill>
                    <w14:schemeClr w14:val="tx1"/>
                  </w14:solidFill>
                </w14:textFill>
              </w:rPr>
              <w:t>条每条长≥</w:t>
            </w:r>
            <w:r>
              <w:rPr>
                <w:rFonts w:ascii="仿宋" w:hAnsi="仿宋" w:eastAsia="仿宋" w:cs="仿宋"/>
                <w:color w:val="000000" w:themeColor="text1"/>
                <w14:textFill>
                  <w14:solidFill>
                    <w14:schemeClr w14:val="tx1"/>
                  </w14:solidFill>
                </w14:textFill>
              </w:rPr>
              <w:t>700mm</w:t>
            </w:r>
            <w:r>
              <w:rPr>
                <w:rFonts w:hint="eastAsia" w:ascii="仿宋" w:hAnsi="仿宋" w:eastAsia="仿宋" w:cs="仿宋"/>
                <w:color w:val="000000" w:themeColor="text1"/>
                <w:lang w:val="en-US" w:eastAsia="zh-CN"/>
                <w14:textFill>
                  <w14:solidFill>
                    <w14:schemeClr w14:val="tx1"/>
                  </w14:solidFill>
                </w14:textFill>
              </w:rPr>
              <w:t>不外凸的</w:t>
            </w:r>
            <w:r>
              <w:rPr>
                <w:rFonts w:hint="eastAsia" w:ascii="仿宋" w:hAnsi="仿宋" w:eastAsia="仿宋" w:cs="仿宋"/>
                <w:color w:val="000000" w:themeColor="text1"/>
                <w14:textFill>
                  <w14:solidFill>
                    <w14:schemeClr w14:val="tx1"/>
                  </w14:solidFill>
                </w14:textFill>
              </w:rPr>
              <w:t>加强筋。栏板采用不低于两根钢管穿入中空护栏内部螺丝固定稳固。</w:t>
            </w:r>
          </w:p>
          <w:p w14:paraId="7243F8DF">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5.钢木床尾立挡基本要求</w:t>
            </w:r>
          </w:p>
          <w:p w14:paraId="4C804458">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5.1钢木床尾立挡，立柱延伸顶，床挡立柱间净空规格≥775mm。立柱多边形焊管截面长≥60mm×宽≥62mm×壁厚≥1.2mm，型材闭合面一条焊缝，多边形管样式不做指定要求；安全要求立柱内侧与床梁连接面为宽≥10mm弧形防碰。</w:t>
            </w:r>
          </w:p>
          <w:p w14:paraId="6FCAC9B8">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r>
              <w:rPr>
                <w:rFonts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床尾栏板，栏板基材≥18mm厚浸渍胶膜纸饰面纤维板，四周PP材质一体气辅注塑包边，外观样式不做要求，床尾栏板长≥380mm，高≥350mm，厚≥28mm；安全功能要求：栏板面一体气辅注塑直径≥140mm圆形或长轴≥140mm×短轴≥40mm椭圆形和长≥235mm×高≥40mm的波浪形扶手孔。</w:t>
            </w:r>
          </w:p>
          <w:p w14:paraId="51A98B4F">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6.床下钢木桌、柜、架组合基本要求</w:t>
            </w:r>
          </w:p>
          <w:p w14:paraId="70522C17">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6.1衣柜、吊柜、鞋柜、抽屉、书架基材≥0.7mm冷轧钢板，其中衣柜门、吊柜门、抽门钢转印木纹。</w:t>
            </w:r>
          </w:p>
          <w:p w14:paraId="1B7258C2">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6.2衣柜宽≥615mm×深≥620mm×高≥1785mm，柜门靠立挡一边设置壁厚≥0.8mm的洞洞板，柜内设置不锈钢挂衣杆及隔板，柜下设置2个抽屉，其中1个抽屉内隔成小储物格，抽屉配三节抽屉滑轨。</w:t>
            </w:r>
          </w:p>
          <w:p w14:paraId="0CC3BB42">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6.3正面书架≥1层，侧面书架≥2隔板，深≥350mm，侧面书架长≥780mm，书架外侧板设置洞洞板。</w:t>
            </w:r>
          </w:p>
          <w:p w14:paraId="4BF38FF8">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6.4鞋柜≥3层配移门，宽≥350mm，长≥780mm。</w:t>
            </w:r>
          </w:p>
          <w:p w14:paraId="59E6F163">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6.5写字桌桌面采用厚≥25mm浸渍胶膜纸饰面刨花板，桌面总宽≥600mm×长≥1000mm。</w:t>
            </w:r>
          </w:p>
          <w:p w14:paraId="0BC74A12">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6.6桌面上方靠衣柜一侧设置悬挂储物吊柜。</w:t>
            </w:r>
            <w:r>
              <w:rPr>
                <w:rFonts w:hint="eastAsia" w:ascii="仿宋" w:hAnsi="仿宋" w:eastAsia="仿宋" w:cs="仿宋"/>
                <w:color w:val="000000" w:themeColor="text1"/>
                <w14:textFill>
                  <w14:solidFill>
                    <w14:schemeClr w14:val="tx1"/>
                  </w14:solidFill>
                </w14:textFill>
              </w:rPr>
              <w:t>柜门铝合金拉手长6</w:t>
            </w:r>
            <w:r>
              <w:rPr>
                <w:rFonts w:ascii="仿宋" w:hAnsi="仿宋" w:eastAsia="仿宋" w:cs="仿宋"/>
                <w:color w:val="000000" w:themeColor="text1"/>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mm（±2</w:t>
            </w:r>
            <w:r>
              <w:rPr>
                <w:rFonts w:ascii="仿宋" w:hAnsi="仿宋" w:eastAsia="仿宋" w:cs="仿宋"/>
                <w:color w:val="000000" w:themeColor="text1"/>
                <w14:textFill>
                  <w14:solidFill>
                    <w14:schemeClr w14:val="tx1"/>
                  </w14:solidFill>
                </w14:textFill>
              </w:rPr>
              <w:t>mm）</w:t>
            </w:r>
            <w:r>
              <w:rPr>
                <w:rFonts w:hint="eastAsia" w:ascii="仿宋" w:hAnsi="仿宋" w:eastAsia="仿宋" w:cs="仿宋"/>
                <w:color w:val="000000" w:themeColor="text1"/>
                <w14:textFill>
                  <w14:solidFill>
                    <w14:schemeClr w14:val="tx1"/>
                  </w14:solidFill>
                </w14:textFill>
              </w:rPr>
              <w:t>×宽1</w:t>
            </w:r>
            <w:r>
              <w:rPr>
                <w:rFonts w:ascii="仿宋" w:hAnsi="仿宋" w:eastAsia="仿宋" w:cs="仿宋"/>
                <w:color w:val="000000" w:themeColor="text1"/>
                <w14:textFill>
                  <w14:solidFill>
                    <w14:schemeClr w14:val="tx1"/>
                  </w14:solidFill>
                </w14:textFill>
              </w:rPr>
              <w:t>8</w:t>
            </w:r>
            <w:r>
              <w:rPr>
                <w:rFonts w:hint="eastAsia" w:ascii="仿宋" w:hAnsi="仿宋" w:eastAsia="仿宋" w:cs="仿宋"/>
                <w:color w:val="000000" w:themeColor="text1"/>
                <w14:textFill>
                  <w14:solidFill>
                    <w14:schemeClr w14:val="tx1"/>
                  </w14:solidFill>
                </w14:textFill>
              </w:rPr>
              <w:t>mm（±2</w:t>
            </w:r>
            <w:r>
              <w:rPr>
                <w:rFonts w:ascii="仿宋" w:hAnsi="仿宋" w:eastAsia="仿宋" w:cs="仿宋"/>
                <w:color w:val="000000" w:themeColor="text1"/>
                <w14:textFill>
                  <w14:solidFill>
                    <w14:schemeClr w14:val="tx1"/>
                  </w14:solidFill>
                </w14:textFill>
              </w:rPr>
              <w:t>mm）</w:t>
            </w:r>
            <w:r>
              <w:rPr>
                <w:rFonts w:hint="eastAsia" w:ascii="仿宋" w:hAnsi="仿宋" w:eastAsia="仿宋" w:cs="仿宋"/>
                <w:color w:val="000000" w:themeColor="text1"/>
                <w14:textFill>
                  <w14:solidFill>
                    <w14:schemeClr w14:val="tx1"/>
                  </w14:solidFill>
                </w14:textFill>
              </w:rPr>
              <w:t>×厚</w:t>
            </w:r>
            <w:r>
              <w:rPr>
                <w:rFonts w:ascii="仿宋" w:hAnsi="仿宋" w:eastAsia="仿宋" w:cs="仿宋"/>
                <w:color w:val="000000" w:themeColor="text1"/>
                <w14:textFill>
                  <w14:solidFill>
                    <w14:schemeClr w14:val="tx1"/>
                  </w14:solidFill>
                </w14:textFill>
              </w:rPr>
              <w:t>15</w:t>
            </w:r>
            <w:r>
              <w:rPr>
                <w:rFonts w:hint="eastAsia" w:ascii="仿宋" w:hAnsi="仿宋" w:eastAsia="仿宋" w:cs="仿宋"/>
                <w:color w:val="000000" w:themeColor="text1"/>
                <w14:textFill>
                  <w14:solidFill>
                    <w14:schemeClr w14:val="tx1"/>
                  </w14:solidFill>
                </w14:textFill>
              </w:rPr>
              <w:t>mm（±2</w:t>
            </w:r>
            <w:r>
              <w:rPr>
                <w:rFonts w:ascii="仿宋" w:hAnsi="仿宋" w:eastAsia="仿宋" w:cs="仿宋"/>
                <w:color w:val="000000" w:themeColor="text1"/>
                <w14:textFill>
                  <w14:solidFill>
                    <w14:schemeClr w14:val="tx1"/>
                  </w14:solidFill>
                </w14:textFill>
              </w:rPr>
              <w:t>mm）</w:t>
            </w:r>
            <w:r>
              <w:rPr>
                <w:rFonts w:hint="eastAsia" w:ascii="仿宋" w:hAnsi="仿宋" w:eastAsia="仿宋" w:cs="仿宋"/>
                <w:color w:val="000000" w:themeColor="text1"/>
                <w14:textFill>
                  <w14:solidFill>
                    <w14:schemeClr w14:val="tx1"/>
                  </w14:solidFill>
                </w14:textFill>
              </w:rPr>
              <w:t>，锁扣盖板</w:t>
            </w:r>
            <w:r>
              <w:rPr>
                <w:rFonts w:ascii="仿宋" w:hAnsi="仿宋" w:eastAsia="仿宋" w:cs="仿宋"/>
                <w:color w:val="000000" w:themeColor="text1"/>
                <w14:textFill>
                  <w14:solidFill>
                    <w14:schemeClr w14:val="tx1"/>
                  </w14:solidFill>
                </w14:textFill>
              </w:rPr>
              <w:t>90</w:t>
            </w:r>
            <w:r>
              <w:rPr>
                <w:rFonts w:hint="eastAsia" w:ascii="仿宋" w:hAnsi="仿宋" w:eastAsia="仿宋" w:cs="仿宋"/>
                <w:color w:val="000000" w:themeColor="text1"/>
                <w14:textFill>
                  <w14:solidFill>
                    <w14:schemeClr w14:val="tx1"/>
                  </w14:solidFill>
                </w14:textFill>
              </w:rPr>
              <w:t>mm（±2</w:t>
            </w:r>
            <w:r>
              <w:rPr>
                <w:rFonts w:ascii="仿宋" w:hAnsi="仿宋" w:eastAsia="仿宋" w:cs="仿宋"/>
                <w:color w:val="000000" w:themeColor="text1"/>
                <w14:textFill>
                  <w14:solidFill>
                    <w14:schemeClr w14:val="tx1"/>
                  </w14:solidFill>
                </w14:textFill>
              </w:rPr>
              <w:t>mm）</w:t>
            </w:r>
            <w:r>
              <w:rPr>
                <w:rFonts w:hint="eastAsia" w:ascii="仿宋" w:hAnsi="仿宋" w:eastAsia="仿宋" w:cs="仿宋"/>
                <w:color w:val="000000" w:themeColor="text1"/>
                <w14:textFill>
                  <w14:solidFill>
                    <w14:schemeClr w14:val="tx1"/>
                  </w14:solidFill>
                </w14:textFill>
              </w:rPr>
              <w:t>×厚</w:t>
            </w:r>
            <w:r>
              <w:rPr>
                <w:rFonts w:ascii="仿宋" w:hAnsi="仿宋" w:eastAsia="仿宋" w:cs="仿宋"/>
                <w:color w:val="000000" w:themeColor="text1"/>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mm（±2</w:t>
            </w:r>
            <w:r>
              <w:rPr>
                <w:rFonts w:ascii="仿宋" w:hAnsi="仿宋" w:eastAsia="仿宋" w:cs="仿宋"/>
                <w:color w:val="000000" w:themeColor="text1"/>
                <w14:textFill>
                  <w14:solidFill>
                    <w14:schemeClr w14:val="tx1"/>
                  </w14:solidFill>
                </w14:textFill>
              </w:rPr>
              <w:t>mm）</w:t>
            </w:r>
            <w:r>
              <w:rPr>
                <w:rFonts w:hint="eastAsia" w:ascii="仿宋" w:hAnsi="仿宋" w:eastAsia="仿宋" w:cs="仿宋"/>
                <w:color w:val="000000" w:themeColor="text1"/>
                <w14:textFill>
                  <w14:solidFill>
                    <w14:schemeClr w14:val="tx1"/>
                  </w14:solidFill>
                </w14:textFill>
              </w:rPr>
              <w:t>，拉手包皮革，安全要求锁扣安装完成后不能凸出拉手外平面。</w:t>
            </w:r>
          </w:p>
          <w:p w14:paraId="7771459D">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7.钢木柜梯基本要求</w:t>
            </w:r>
          </w:p>
          <w:p w14:paraId="4F889743">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7.1柜梯入口≥600mm。</w:t>
            </w:r>
          </w:p>
          <w:p w14:paraId="461FCFAA">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7.2柜门采用高密度聚乙烯材料中空吹塑成型（外观样式不做要求），柜门长≥595mm，高≥295mm，厚≥18mm。功能要求：门板面设置长≥400mm×高≥30mm椭圆形或直径≥140mm的圆形拉手孔，孔四周圆弧处理；强度要求门板面设置不低于</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条</w:t>
            </w:r>
            <w:r>
              <w:rPr>
                <w:rFonts w:hint="eastAsia" w:ascii="仿宋" w:hAnsi="仿宋" w:eastAsia="仿宋" w:cs="仿宋"/>
                <w:color w:val="000000" w:themeColor="text1"/>
                <w:lang w:val="en-US" w:eastAsia="zh-CN"/>
                <w14:textFill>
                  <w14:solidFill>
                    <w14:schemeClr w14:val="tx1"/>
                  </w14:solidFill>
                </w14:textFill>
              </w:rPr>
              <w:t>不外凸的</w:t>
            </w:r>
            <w:r>
              <w:rPr>
                <w:rFonts w:hint="eastAsia" w:ascii="仿宋" w:hAnsi="仿宋" w:eastAsia="仿宋" w:cs="仿宋"/>
                <w:color w:val="000000" w:themeColor="text1"/>
                <w14:textFill>
                  <w14:solidFill>
                    <w14:schemeClr w14:val="tx1"/>
                  </w14:solidFill>
                </w14:textFill>
              </w:rPr>
              <w:t>加强筋，加强筋长≥</w:t>
            </w:r>
            <w:r>
              <w:rPr>
                <w:rFonts w:ascii="仿宋" w:hAnsi="仿宋" w:eastAsia="仿宋" w:cs="仿宋"/>
                <w:color w:val="000000" w:themeColor="text1"/>
                <w14:textFill>
                  <w14:solidFill>
                    <w14:schemeClr w14:val="tx1"/>
                  </w14:solidFill>
                </w14:textFill>
              </w:rPr>
              <w:t>300mm</w:t>
            </w:r>
            <w:r>
              <w:rPr>
                <w:rFonts w:hint="eastAsia" w:ascii="仿宋" w:hAnsi="仿宋" w:eastAsia="仿宋" w:cs="仿宋"/>
                <w:color w:val="000000" w:themeColor="text1"/>
                <w14:textFill>
                  <w14:solidFill>
                    <w14:schemeClr w14:val="tx1"/>
                  </w14:solidFill>
                </w14:textFill>
              </w:rPr>
              <w:t>。柜梯内置钢架。</w:t>
            </w:r>
          </w:p>
          <w:p w14:paraId="4D6E7CEE">
            <w:pPr>
              <w:pStyle w:val="11"/>
              <w:ind w:firstLine="240" w:firstLineChars="100"/>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7.3柜梯踏板厚≥2</w:t>
            </w:r>
            <w:r>
              <w:rPr>
                <w:rFonts w:ascii="仿宋" w:hAnsi="仿宋" w:eastAsia="仿宋" w:cs="仿宋"/>
                <w:color w:val="000000" w:themeColor="text1"/>
                <w14:textFill>
                  <w14:solidFill>
                    <w14:schemeClr w14:val="tx1"/>
                  </w14:solidFill>
                </w14:textFill>
              </w:rPr>
              <w:t>5mm</w:t>
            </w:r>
            <w:r>
              <w:rPr>
                <w:rFonts w:hint="eastAsia" w:ascii="仿宋" w:hAnsi="仿宋" w:eastAsia="仿宋" w:cs="仿宋"/>
                <w:color w:val="000000" w:themeColor="text1"/>
                <w14:textFill>
                  <w14:solidFill>
                    <w14:schemeClr w14:val="tx1"/>
                  </w14:solidFill>
                </w14:textFill>
              </w:rPr>
              <w:t>，踏板前端开槽安装宽20mm至30mm，厚5mm至8mm，壁厚≥1mm的铝合金防滑条，安全要求防滑条内嵌宽≥5</w:t>
            </w:r>
            <w:r>
              <w:rPr>
                <w:rFonts w:ascii="仿宋" w:hAnsi="仿宋" w:eastAsia="仿宋" w:cs="仿宋"/>
                <w:color w:val="000000" w:themeColor="text1"/>
                <w14:textFill>
                  <w14:solidFill>
                    <w14:schemeClr w14:val="tx1"/>
                  </w14:solidFill>
                </w14:textFill>
              </w:rPr>
              <w:t>mm</w:t>
            </w:r>
            <w:r>
              <w:rPr>
                <w:rFonts w:hint="eastAsia" w:ascii="仿宋" w:hAnsi="仿宋" w:eastAsia="仿宋" w:cs="仿宋"/>
                <w:color w:val="000000" w:themeColor="text1"/>
                <w14:textFill>
                  <w14:solidFill>
                    <w14:schemeClr w14:val="tx1"/>
                  </w14:solidFill>
                </w14:textFill>
              </w:rPr>
              <w:t>夜光胶条，铝合金防滑条安装完成后高出梯柜踏板平面≤2mm避免绊脚或刺脚；固定铝合金防滑条的螺栓不能外露。柜梯顶端靠墙设置挡板。</w:t>
            </w:r>
          </w:p>
        </w:tc>
      </w:tr>
      <w:tr w14:paraId="0423E9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gridSpan w:val="2"/>
            <w:tcBorders>
              <w:top w:val="single" w:color="auto" w:sz="2" w:space="0"/>
              <w:left w:val="single" w:color="auto" w:sz="2" w:space="0"/>
              <w:bottom w:val="single" w:color="auto" w:sz="2" w:space="0"/>
              <w:right w:val="single" w:color="auto" w:sz="2" w:space="0"/>
            </w:tcBorders>
            <w:vAlign w:val="center"/>
          </w:tcPr>
          <w:p w14:paraId="341071B2">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2</w:t>
            </w:r>
          </w:p>
        </w:tc>
        <w:tc>
          <w:tcPr>
            <w:tcW w:w="1698" w:type="dxa"/>
            <w:tcBorders>
              <w:top w:val="single" w:color="auto" w:sz="2" w:space="0"/>
              <w:left w:val="single" w:color="auto" w:sz="2" w:space="0"/>
              <w:bottom w:val="single" w:color="auto" w:sz="2" w:space="0"/>
              <w:right w:val="single" w:color="auto" w:sz="2" w:space="0"/>
            </w:tcBorders>
            <w:vAlign w:val="center"/>
          </w:tcPr>
          <w:p w14:paraId="2934335B">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产品材料、部件要求</w:t>
            </w:r>
          </w:p>
        </w:tc>
        <w:tc>
          <w:tcPr>
            <w:tcW w:w="7516" w:type="dxa"/>
            <w:tcBorders>
              <w:top w:val="single" w:color="auto" w:sz="2" w:space="0"/>
              <w:left w:val="single" w:color="auto" w:sz="2" w:space="0"/>
              <w:bottom w:val="single" w:color="auto" w:sz="2" w:space="0"/>
              <w:right w:val="single" w:color="auto" w:sz="2" w:space="0"/>
            </w:tcBorders>
          </w:tcPr>
          <w:p w14:paraId="2B068B4B">
            <w:pPr>
              <w:pStyle w:val="11"/>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▲1.I型1类热固性粉末涂料喷涂横梁：包括但不限于符合GB/T 3325-2024金属家具通用技术条件的规定，即：金属件表面理化性能金属喷塑涂层硬度、冲击强度、耐盐浴检测合格，附着力2级或优于2级。</w:t>
            </w:r>
            <w:bookmarkStart w:id="9" w:name="OLE_LINK2"/>
          </w:p>
          <w:p w14:paraId="52A2FD27">
            <w:pPr>
              <w:pStyle w:val="11"/>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 横梁钢材：包括但不限于符合GB/T 3094-2012</w:t>
            </w:r>
            <w:bookmarkEnd w:id="9"/>
            <w:r>
              <w:rPr>
                <w:rFonts w:hint="eastAsia" w:ascii="仿宋" w:hAnsi="仿宋" w:eastAsia="仿宋" w:cs="仿宋"/>
                <w:color w:val="000000" w:themeColor="text1"/>
                <w14:textFill>
                  <w14:solidFill>
                    <w14:schemeClr w14:val="tx1"/>
                  </w14:solidFill>
                </w14:textFill>
              </w:rPr>
              <w:t>冷拔异型钢管的规定，即：钢管的力学性能抗拉强度（Rm）≥315MPa，下屈服强度（PeL）≥195MPa，断后伸长率（A）≥20%，化学成分C≤0.12%，Si≤0.3%，Mn≤0.5%，P≤0.035%,S≤0.04%。</w:t>
            </w:r>
          </w:p>
          <w:p w14:paraId="3B32440A">
            <w:pPr>
              <w:pStyle w:val="11"/>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▲3.I型1类热固性粉末涂料喷涂立柱： 包括但不限于符合GB/T 3325-2024金属家具通用技术条件的规定，即：金属件表面理化性能金属喷塑涂层硬度、冲击强度、耐盐浴检测合格，附着力2级或优于2级。</w:t>
            </w:r>
          </w:p>
          <w:p w14:paraId="51D6ABDD">
            <w:pPr>
              <w:pStyle w:val="11"/>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▲4.立柱钢材：包括但不限于符合GB/T 3094-2012冷拔异型钢管的规定，即：钢管的力学性能抗拉强度（Rm）≥315MPa，下屈服强度（PeL）≥195MPa，断后伸长率（A）≥20%，化学成分C≤0.12%，Si≤0.3%，Mn≤0.5%，P≤0.035%,S≤0.04%。</w:t>
            </w:r>
          </w:p>
          <w:p w14:paraId="5F5906DB">
            <w:pPr>
              <w:pStyle w:val="11"/>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▲5.I型1类热固性粉末涂料喷涂床换：包括但不限于符合GB/T 3325-2024金属家具通用技术条件的规定，即：金属件表面理化性能金属喷塑涂层硬度、冲击强度、耐盐浴检测合格，附着力2级或优于2级.</w:t>
            </w:r>
          </w:p>
          <w:p w14:paraId="338C304D">
            <w:pPr>
              <w:pStyle w:val="11"/>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▲6.床换钢材：包括但不限于符合GB/T 3094-2012冷拔异型钢管的规定，即：钢管的力学性能抗拉强度（Rm）≥315MPa，下屈服强度（PeL）≥195MPa，断后伸长率（A）≥20%，化学成分C≤0.12%，Si≤0.3%，Mn≤0.5%，P≤0.035%,S≤0.04%。 </w:t>
            </w:r>
          </w:p>
          <w:p w14:paraId="2425CCD8">
            <w:pPr>
              <w:pStyle w:val="11"/>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▲7.多层实木（普通胶合板）床铺板：包括但不限于符合GB/T 9846-2015普通胶合板的规定，即：胶合强度检测≥1MPa；浸渍剥离当胶合板相邻层单板木纹方向相同时，应进行浸渍剥离试验，每个试件同一胶层每边剥离长度累计不超过25mm；静曲强度顺纹≥28MPa，横纹≥16MPa；弹性模量顺纹≥5000MPa，横纹≥2500MPa，含水率5%~14%； GB/T 39600-2021人造板及其制品甲醛释放量分级的规定，甲醛释放限量≤0.05mg/m³； GB/T 35601-2024绿色产品评价人造板和木质地板的规定，即挥发性有机化合物（72h），苯≤2μg/m³，甲苯≤10μg/m³，二甲苯≤10μg/m³，总挥发性有机化合物（TVOC）≤100μg/m³，可溶性重金属总含量≤50mg/kg，铅≤50mg/kg，镉≤50mg/kg，铬≤25mg/kg，汞≤25mg/kg。 </w:t>
            </w:r>
          </w:p>
          <w:p w14:paraId="59305043">
            <w:pPr>
              <w:pStyle w:val="11"/>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w:t>
            </w:r>
            <w:bookmarkStart w:id="10" w:name="OLE_LINK4"/>
            <w:bookmarkStart w:id="11" w:name="OLE_LINK5"/>
            <w:r>
              <w:rPr>
                <w:rFonts w:hint="eastAsia" w:ascii="仿宋" w:hAnsi="仿宋" w:eastAsia="仿宋" w:cs="仿宋"/>
                <w:color w:val="000000" w:themeColor="text1"/>
                <w14:textFill>
                  <w14:solidFill>
                    <w14:schemeClr w14:val="tx1"/>
                  </w14:solidFill>
                </w14:textFill>
              </w:rPr>
              <w:t>聚乙烯材料中空吹塑板</w:t>
            </w:r>
            <w:bookmarkEnd w:id="10"/>
            <w:bookmarkEnd w:id="11"/>
            <w:r>
              <w:rPr>
                <w:rFonts w:hint="eastAsia" w:ascii="仿宋" w:hAnsi="仿宋" w:eastAsia="仿宋" w:cs="仿宋"/>
                <w:color w:val="000000" w:themeColor="text1"/>
                <w14:textFill>
                  <w14:solidFill>
                    <w14:schemeClr w14:val="tx1"/>
                  </w14:solidFill>
                </w14:textFill>
              </w:rPr>
              <w:t>：包括但不限于符合GB/T 32487-2016塑料家具通用技术条件的规定，即：塑料材料理化性能耐老化性室内用≥240h,冲击强度的保持率≥60%，外观颜色变色评级≥3级，冲击强度≥10J/㎡；塑料件外观检测合格；塑料件耐冷热循环检测合格，硬度检测邵氏D硬度≥HD63。</w:t>
            </w:r>
          </w:p>
          <w:p w14:paraId="2D83F35B">
            <w:pPr>
              <w:pStyle w:val="11"/>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▲9. </w:t>
            </w:r>
            <w:bookmarkStart w:id="12" w:name="OLE_LINK7"/>
            <w:bookmarkStart w:id="13" w:name="OLE_LINK6"/>
            <w:r>
              <w:rPr>
                <w:rFonts w:hint="eastAsia" w:ascii="仿宋" w:hAnsi="仿宋" w:eastAsia="仿宋" w:cs="仿宋"/>
                <w:color w:val="000000" w:themeColor="text1"/>
                <w14:textFill>
                  <w14:solidFill>
                    <w14:schemeClr w14:val="tx1"/>
                  </w14:solidFill>
                </w14:textFill>
              </w:rPr>
              <w:t>I型1类热固性粉末涂料</w:t>
            </w:r>
            <w:bookmarkEnd w:id="12"/>
            <w:bookmarkEnd w:id="13"/>
            <w:r>
              <w:rPr>
                <w:rFonts w:hint="eastAsia" w:ascii="仿宋" w:hAnsi="仿宋" w:eastAsia="仿宋" w:cs="仿宋"/>
                <w:color w:val="000000" w:themeColor="text1"/>
                <w14:textFill>
                  <w14:solidFill>
                    <w14:schemeClr w14:val="tx1"/>
                  </w14:solidFill>
                </w14:textFill>
              </w:rPr>
              <w:t>：包括但不限于符合HG/T 2006-2022热固性和热塑性粉末涂料的规定，即：粉末涂料干附着力≤1级，杯突实验≥4mm，弯曲试验≤4mm，耐酸性[3%(质量分数)盐酸溶液]240h无异常，耐碱性[5%(质量分数)氢氧化钠溶液]室内用168h无异常，耐沸水性(2h)无异常，盐雾试验中性盐雾划痕处单向腐蚀蔓延宽度≤2.0mm，未划痕区无起泡、生锈、开裂、剥落等异常现象；耐湿性室内用500h无异常，耐冲击性(正向冲击)检测合格。</w:t>
            </w:r>
          </w:p>
          <w:p w14:paraId="3A1BBBCE">
            <w:pPr>
              <w:pStyle w:val="11"/>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▲10.浸渍胶膜纸饰面纤维板：包括但不限于符合GB/T 15102-2017浸渍胶膜纸饰面纤维板和刨花板的规定，即：外观质量要求干花、湿花检测合格，污斑、表面划痕、表面压痕、鼓泡、鼓包检测合格；浸渍胶膜纸饰面纤维板理化性能静曲强度≥24MPa,弹性模量≥2300MPa，内结合强度≥0.45MPa，24h吸水厚度膨胀率≤12%，板内密度偏差士10%，表面胶合强度≥0.60MPa，表面耐冷热循环检测无裂纹、鼓泡、变色、起皱等；表面耐划痕≥1.5N表面无大于90%的连续划痕；表面耐磨磨耗值≤80mg/100r，表面耐香烟灼烧、耐干热、表面耐污染腐蚀（素色）、耐龟裂、耐水蒸气、耐光色牢度（灰度卡）等级均≥4级，含水率检测3%~13%； GB/T 39600-2021人造板及其制品甲醛释放量分级的规定，即：甲醛释放限量≤0.05mg/m³。GB/T 35601-2024绿色产品评价人造板和木质地板的规定，即挥发性有机化合物（72h），苯≤2μg/m³，甲苯≤10μg/m³，二甲苯≤10μg/m³，总挥发性有机化合物（TVOC）≤100μg/m³，可溶性重金属总含量≤50mg/kg，铅≤50mg/kg，镉≤50mg/kg，铬≤25mg/kg，汞≤25mg/kg。  </w:t>
            </w:r>
          </w:p>
          <w:p w14:paraId="5500AE31">
            <w:pPr>
              <w:pStyle w:val="11"/>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▲11.浸渍胶膜纸饰面刨花板：包括但不限于符合GB/T 15102-2017浸渍胶膜纸饰面纤维板和刨花板的规定，即：外观质量要求干花、湿花检测合格，污斑、表面划痕、表面压痕、鼓泡、鼓包检测合格；浸渍胶膜纸饰面刨花板理化性能静曲强度≥11MPa,弹性模量≥1600MPa，内结合强度≥0.35MPa，2h吸水厚度膨胀率≤8%，密度0.6~0.9g/cm³，表面胶合强度≥0.60MPa，握螺钉力板面≥900N、板边≥600N，表面耐冷热循环检测无裂纹、鼓泡、变色、起皱等；表面耐划痕≥1.5N表面无大于90%的连续划痕；表面耐磨磨耗值≤80mg/100r，表面耐香烟灼烧、耐干热、表面耐污染腐蚀（素色）、耐龟裂、耐水蒸气、耐光色牢度（灰度卡）等级≥4级，含水率检测3%~13%； GB/T 39600-2021人造板及其制品甲醛释放量分级的规定，即：甲醛释放限量≤0.05mg/m³； GB/T 35601-2024绿色产品评价人造板和木质地板的规定，即挥发性有机化合物（72h），苯≤2μg/m³，甲苯≤10μg/m³，二甲苯≤10μg/m³，总挥发性有机化合物（TVOC）≤100μg/m³，可溶性重金属总含量≤50mg/kg，铅≤50mg/kg，镉≤50mg/kg，铬≤25mg/kg，汞≤25mg/kg。  </w:t>
            </w:r>
          </w:p>
          <w:p w14:paraId="25FF099C">
            <w:pPr>
              <w:pStyle w:val="11"/>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▲12、铝合金防滑条：包括但不限于符合GB/T 6892-2023一般工业用铝及铝合金挤压型材的规定，即：牌号6063 T5;室温拉伸力学性能抗拉强度≥175MPa、规定非比例延伸强度≥130MPa、断后伸长率≥6%，布氏硬度（HBW）≥6</w:t>
            </w:r>
            <w:r>
              <w:rPr>
                <w:rFonts w:ascii="仿宋" w:hAnsi="仿宋" w:eastAsia="仿宋" w:cs="仿宋"/>
                <w:color w:val="000000" w:themeColor="text1"/>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w:t>
            </w:r>
          </w:p>
          <w:p w14:paraId="16277E45">
            <w:pPr>
              <w:pStyle w:val="11"/>
              <w:rPr>
                <w:rFonts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 二人位公寓床（柜梯）：包括但不限于符合GB 18584—2024《家具中有害物质限量》之规定，即：甲醛、苯、甲苯、二甲苯和TVOC的释放限量要求（甲醛≤0.08mg/m³，苯≤0.06 mg/m³，甲苯≤0.15 mg/m³，二甲苯（邻、间、对二甲苯之和）≤0.20mg/m³，总挥发性有机化合物（TVOC）≤0.50mg/m³）；家具中可迁移有害元素限量要求（锑≤60mg/kg，砷≤25mg/kg，钡≤1000mg/kg，镉≤75mg/kg，铬≤60mg/kg，铅≤90mg/kg，汞≤60mg/kg，硒≤500mg/kg）。邻苯二甲酸酯总量≤0.1%，多环芳烃笨并[a] 芘≤1.0mg/kg，18种多环芳烃（PAH）总量≤10mg/kg。</w:t>
            </w:r>
          </w:p>
        </w:tc>
      </w:tr>
    </w:tbl>
    <w:p w14:paraId="55921780">
      <w:pPr>
        <w:pStyle w:val="11"/>
        <w:rPr>
          <w:rFonts w:hint="eastAsia" w:ascii="仿宋_GB2312" w:hAnsi="仿宋_GB2312"/>
          <w:color w:val="000000" w:themeColor="text1"/>
          <w14:textFill>
            <w14:solidFill>
              <w14:schemeClr w14:val="tx1"/>
            </w14:solidFill>
          </w14:textFill>
        </w:rPr>
      </w:pPr>
    </w:p>
    <w:p w14:paraId="70B5EB9E">
      <w:pPr>
        <w:pStyle w:val="11"/>
        <w:rPr>
          <w:color w:val="000000" w:themeColor="text1"/>
          <w14:textFill>
            <w14:solidFill>
              <w14:schemeClr w14:val="tx1"/>
            </w14:solidFill>
          </w14:textFill>
        </w:rPr>
      </w:pPr>
      <w:r>
        <w:rPr>
          <w:rFonts w:ascii="仿宋_GB2312" w:hAnsi="仿宋_GB2312"/>
          <w:color w:val="000000" w:themeColor="text1"/>
          <w14:textFill>
            <w14:solidFill>
              <w14:schemeClr w14:val="tx1"/>
            </w14:solidFill>
          </w14:textFill>
        </w:rPr>
        <w:t>2</w:t>
      </w:r>
      <w:r>
        <w:rPr>
          <w:rFonts w:hint="eastAsia" w:ascii="仿宋_GB2312" w:hAnsi="仿宋_GB2312"/>
          <w:color w:val="000000" w:themeColor="text1"/>
          <w14:textFill>
            <w14:solidFill>
              <w14:schemeClr w14:val="tx1"/>
            </w14:solidFill>
          </w14:textFill>
        </w:rPr>
        <w:t>、</w:t>
      </w:r>
      <w:r>
        <w:rPr>
          <w:rFonts w:ascii="仿宋_GB2312" w:hAnsi="仿宋_GB2312"/>
          <w:color w:val="000000" w:themeColor="text1"/>
          <w14:textFill>
            <w14:solidFill>
              <w14:schemeClr w14:val="tx1"/>
            </w14:solidFill>
          </w14:textFill>
        </w:rPr>
        <w:t>标的名称：钢塑公寓椅</w:t>
      </w:r>
    </w:p>
    <w:tbl>
      <w:tblPr>
        <w:tblStyle w:val="8"/>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0"/>
        <w:gridCol w:w="1684"/>
        <w:gridCol w:w="7539"/>
      </w:tblGrid>
      <w:tr w14:paraId="7D3DE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700" w:type="dxa"/>
            <w:tcBorders>
              <w:top w:val="single" w:color="auto" w:sz="2" w:space="0"/>
              <w:left w:val="single" w:color="auto" w:sz="2" w:space="0"/>
              <w:bottom w:val="single" w:color="auto" w:sz="2" w:space="0"/>
              <w:right w:val="single" w:color="auto" w:sz="2" w:space="0"/>
            </w:tcBorders>
            <w:vAlign w:val="center"/>
          </w:tcPr>
          <w:p w14:paraId="0E1CFF0B">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序号</w:t>
            </w:r>
          </w:p>
        </w:tc>
        <w:tc>
          <w:tcPr>
            <w:tcW w:w="1684" w:type="dxa"/>
            <w:tcBorders>
              <w:top w:val="single" w:color="auto" w:sz="2" w:space="0"/>
              <w:left w:val="single" w:color="auto" w:sz="2" w:space="0"/>
              <w:bottom w:val="single" w:color="auto" w:sz="2" w:space="0"/>
              <w:right w:val="single" w:color="auto" w:sz="2" w:space="0"/>
            </w:tcBorders>
            <w:vAlign w:val="center"/>
          </w:tcPr>
          <w:p w14:paraId="4E140552">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技术要求名称</w:t>
            </w:r>
          </w:p>
        </w:tc>
        <w:tc>
          <w:tcPr>
            <w:tcW w:w="7539" w:type="dxa"/>
            <w:tcBorders>
              <w:top w:val="single" w:color="auto" w:sz="2" w:space="0"/>
              <w:left w:val="single" w:color="auto" w:sz="2" w:space="0"/>
              <w:bottom w:val="single" w:color="auto" w:sz="2" w:space="0"/>
              <w:right w:val="single" w:color="auto" w:sz="2" w:space="0"/>
            </w:tcBorders>
            <w:vAlign w:val="center"/>
          </w:tcPr>
          <w:p w14:paraId="711CE9B0">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技术参数与性能指标</w:t>
            </w:r>
          </w:p>
        </w:tc>
      </w:tr>
      <w:tr w14:paraId="08EFE7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0" w:type="dxa"/>
            <w:tcBorders>
              <w:top w:val="single" w:color="auto" w:sz="2" w:space="0"/>
              <w:left w:val="single" w:color="auto" w:sz="2" w:space="0"/>
              <w:bottom w:val="single" w:color="auto" w:sz="2" w:space="0"/>
              <w:right w:val="single" w:color="auto" w:sz="2" w:space="0"/>
            </w:tcBorders>
            <w:vAlign w:val="center"/>
          </w:tcPr>
          <w:p w14:paraId="4B22183F">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w:t>
            </w:r>
          </w:p>
        </w:tc>
        <w:tc>
          <w:tcPr>
            <w:tcW w:w="1684" w:type="dxa"/>
            <w:tcBorders>
              <w:top w:val="single" w:color="auto" w:sz="2" w:space="0"/>
              <w:left w:val="single" w:color="auto" w:sz="2" w:space="0"/>
              <w:bottom w:val="single" w:color="auto" w:sz="2" w:space="0"/>
              <w:right w:val="single" w:color="auto" w:sz="2" w:space="0"/>
            </w:tcBorders>
            <w:vAlign w:val="center"/>
          </w:tcPr>
          <w:p w14:paraId="544CD923">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钢塑公寓椅</w:t>
            </w:r>
          </w:p>
        </w:tc>
        <w:tc>
          <w:tcPr>
            <w:tcW w:w="7539" w:type="dxa"/>
            <w:tcBorders>
              <w:top w:val="single" w:color="auto" w:sz="2" w:space="0"/>
              <w:left w:val="single" w:color="auto" w:sz="2" w:space="0"/>
              <w:bottom w:val="single" w:color="auto" w:sz="2" w:space="0"/>
              <w:right w:val="single" w:color="auto" w:sz="2" w:space="0"/>
            </w:tcBorders>
          </w:tcPr>
          <w:p w14:paraId="2332EBC2">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1.规格要求：</w:t>
            </w:r>
            <w:r>
              <w:rPr>
                <w:rFonts w:hint="eastAsia" w:ascii="仿宋" w:hAnsi="仿宋" w:eastAsia="仿宋" w:cs="仿宋"/>
                <w:color w:val="000000" w:themeColor="text1"/>
                <w14:textFill>
                  <w14:solidFill>
                    <w14:schemeClr w14:val="tx1"/>
                  </w14:solidFill>
                </w14:textFill>
              </w:rPr>
              <w:t>深550mm×宽510mm×高850mm（偏差±20mm）。</w:t>
            </w:r>
          </w:p>
          <w:p w14:paraId="738B355C">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2.椅座背面基本要求</w:t>
            </w:r>
          </w:p>
          <w:p w14:paraId="3E8AF9FE">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2.1椅座背面采用PP+玻纤材质一体成型（外观样式不做要求）；</w:t>
            </w:r>
          </w:p>
          <w:p w14:paraId="74A54A94">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规格要求：椅背宽、座宽≥430mm,椅背与椅座连处流线型收窄至宽≤355mm,椅座深≥480mm，椅背高≥410mm,座背面壁厚≥6mm；功能要求：椅背镂空外凸顶腰宽160mm至300mm之间，镂空顶腰凸出≥60mm，椅背设置多个透气孔，透气孔四周无毛刺；安全要求：椅座背面四周弧形无尖角。</w:t>
            </w:r>
          </w:p>
          <w:p w14:paraId="042B10A5">
            <w:pPr>
              <w:pStyle w:val="11"/>
              <w:ind w:firstLine="241"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3.椅架要求</w:t>
            </w:r>
          </w:p>
          <w:p w14:paraId="032A4D9B">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3.1椅架立柱直径≥9mm实心圆钢、辅料≥6mm冷轧钢板套用成型，配静音脚垫，脚垫采用螺栓固定稳固不脱落，椅座面椅架螺栓固定面安装弹簧垫固定更稳固。</w:t>
            </w:r>
          </w:p>
        </w:tc>
      </w:tr>
      <w:tr w14:paraId="773301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76" w:hRule="atLeast"/>
          <w:jc w:val="center"/>
        </w:trPr>
        <w:tc>
          <w:tcPr>
            <w:tcW w:w="700" w:type="dxa"/>
            <w:tcBorders>
              <w:top w:val="single" w:color="auto" w:sz="2" w:space="0"/>
              <w:left w:val="single" w:color="auto" w:sz="2" w:space="0"/>
              <w:bottom w:val="single" w:color="auto" w:sz="2" w:space="0"/>
              <w:right w:val="single" w:color="auto" w:sz="2" w:space="0"/>
            </w:tcBorders>
            <w:vAlign w:val="center"/>
          </w:tcPr>
          <w:p w14:paraId="76951D45">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2</w:t>
            </w:r>
          </w:p>
        </w:tc>
        <w:tc>
          <w:tcPr>
            <w:tcW w:w="1684" w:type="dxa"/>
            <w:tcBorders>
              <w:top w:val="single" w:color="auto" w:sz="2" w:space="0"/>
              <w:left w:val="single" w:color="auto" w:sz="2" w:space="0"/>
              <w:bottom w:val="single" w:color="auto" w:sz="2" w:space="0"/>
              <w:right w:val="single" w:color="auto" w:sz="2" w:space="0"/>
            </w:tcBorders>
            <w:vAlign w:val="center"/>
          </w:tcPr>
          <w:p w14:paraId="3A8E541E">
            <w:pPr>
              <w:pStyle w:val="11"/>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产品材料、部件要求</w:t>
            </w:r>
          </w:p>
        </w:tc>
        <w:tc>
          <w:tcPr>
            <w:tcW w:w="7539" w:type="dxa"/>
            <w:tcBorders>
              <w:top w:val="single" w:color="auto" w:sz="2" w:space="0"/>
              <w:left w:val="single" w:color="auto" w:sz="2" w:space="0"/>
              <w:bottom w:val="single" w:color="auto" w:sz="2" w:space="0"/>
              <w:right w:val="single" w:color="auto" w:sz="2" w:space="0"/>
            </w:tcBorders>
            <w:vAlign w:val="center"/>
          </w:tcPr>
          <w:p w14:paraId="298C2100">
            <w:pPr>
              <w:pStyle w:val="11"/>
              <w:ind w:firstLine="240" w:firstLineChars="100"/>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▲1、PP+玻纤材质椅座：包括但不限于符合GB/T 32487-2016塑料家具通用技术条件的规定，即：塑料材料理化性能耐老化性室内用≥500h,冲击强度的保持率≥60%，外观颜色变色评级≥3级，冲击强度≥10J/㎡；塑料件外观检测合格；塑料件耐冷热循环检测合格，硬度检测邵氏D硬度≥HD63。</w:t>
            </w:r>
          </w:p>
          <w:p w14:paraId="3BF9BF77">
            <w:pPr>
              <w:pStyle w:val="11"/>
              <w:ind w:firstLine="240" w:firstLineChars="100"/>
              <w:jc w:val="both"/>
              <w:rPr>
                <w:rFonts w:ascii="仿宋" w:hAnsi="仿宋" w:eastAsia="仿宋" w:cs="仿宋"/>
                <w:color w:val="000000" w:themeColor="text1"/>
                <w14:textFill>
                  <w14:solidFill>
                    <w14:schemeClr w14:val="tx1"/>
                  </w14:solidFill>
                </w14:textFill>
              </w:rPr>
            </w:pPr>
            <w:bookmarkStart w:id="14" w:name="OLE_LINK11"/>
            <w:bookmarkStart w:id="15" w:name="OLE_LINK12"/>
            <w:r>
              <w:rPr>
                <w:rFonts w:hint="eastAsia" w:ascii="仿宋" w:hAnsi="仿宋" w:eastAsia="仿宋" w:cs="仿宋"/>
                <w:color w:val="000000" w:themeColor="text1"/>
                <w14:textFill>
                  <w14:solidFill>
                    <w14:schemeClr w14:val="tx1"/>
                  </w14:solidFill>
                </w14:textFill>
              </w:rPr>
              <w:t>★2. 钢塑公寓椅：包括但不限于符合GB 18584—2024《家具中有害物质限量》之规定，即：甲醛、苯、甲苯、二甲苯和TVOC的释放限量要求（甲醛≤0.08mg/m³，苯≤0.06 mg/m³，甲苯≤0.15 mg/m³，二甲苯（邻、间、对二甲苯之和）≤0.20mg/m³，总挥发性有机化合物（TVOC）≤0.50mg/m³）；家具中可迁移有害元素限量要求（锑≤60mg/kg，砷≤25mg/kg，钡≤1000mg/kg，镉≤75mg/kg，铬≤60mg/kg，铅≤90mg/kg，汞≤60mg/kg，硒≤500mg/kg）。邻苯二甲酸酯总量≤0.1%，多环芳烃笨并[a] 芘≤1.0mg/kg，18种多环芳烃（PAH）总量≤10mg/kg。</w:t>
            </w:r>
            <w:bookmarkEnd w:id="14"/>
            <w:bookmarkEnd w:id="15"/>
          </w:p>
        </w:tc>
      </w:tr>
    </w:tbl>
    <w:p w14:paraId="6F82E70F">
      <w:pPr>
        <w:spacing w:line="400" w:lineRule="exact"/>
        <w:rPr>
          <w:rFonts w:ascii="黑体" w:hAnsi="黑体" w:eastAsia="黑体" w:cs="黑体"/>
          <w:color w:val="000000" w:themeColor="text1"/>
          <w:sz w:val="28"/>
          <w:szCs w:val="28"/>
          <w14:textFill>
            <w14:solidFill>
              <w14:schemeClr w14:val="tx1"/>
            </w14:solidFill>
          </w14:textFill>
        </w:rPr>
      </w:pPr>
    </w:p>
    <w:p w14:paraId="48904338">
      <w:pPr>
        <w:spacing w:line="400" w:lineRule="exact"/>
        <w:ind w:firstLine="560" w:firstLineChars="200"/>
        <w:rPr>
          <w:color w:val="000000" w:themeColor="text1"/>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包2</w:t>
      </w:r>
      <w:r>
        <w:rPr>
          <w:rFonts w:hint="eastAsia"/>
          <w:b/>
          <w:bCs/>
          <w:color w:val="000000" w:themeColor="text1"/>
          <w14:textFill>
            <w14:solidFill>
              <w14:schemeClr w14:val="tx1"/>
            </w14:solidFill>
          </w14:textFill>
        </w:rPr>
        <w:t>：</w:t>
      </w:r>
      <w:r>
        <w:rPr>
          <w:rFonts w:hint="eastAsia" w:ascii="黑体" w:hAnsi="黑体" w:eastAsia="黑体" w:cs="黑体"/>
          <w:color w:val="000000" w:themeColor="text1"/>
          <w:sz w:val="28"/>
          <w:szCs w:val="28"/>
          <w14:textFill>
            <w14:solidFill>
              <w14:schemeClr w14:val="tx1"/>
            </w14:solidFill>
          </w14:textFill>
        </w:rPr>
        <w:t>主要技术要求</w:t>
      </w:r>
    </w:p>
    <w:p w14:paraId="12A6D41C">
      <w:pPr>
        <w:pStyle w:val="11"/>
        <w:rPr>
          <w:rFonts w:hint="eastAsia" w:ascii="仿宋_GB2312" w:hAnsi="仿宋_GB2312"/>
          <w:color w:val="000000" w:themeColor="text1"/>
          <w14:textFill>
            <w14:solidFill>
              <w14:schemeClr w14:val="tx1"/>
            </w14:solidFill>
          </w14:textFill>
        </w:rPr>
      </w:pPr>
      <w:r>
        <w:rPr>
          <w:rFonts w:hint="eastAsia" w:ascii="仿宋_GB2312" w:hAnsi="仿宋_GB2312"/>
          <w:color w:val="000000" w:themeColor="text1"/>
          <w14:textFill>
            <w14:solidFill>
              <w14:schemeClr w14:val="tx1"/>
            </w14:solidFill>
          </w14:textFill>
        </w:rPr>
        <w:t>1、</w:t>
      </w:r>
      <w:r>
        <w:rPr>
          <w:rFonts w:ascii="仿宋_GB2312" w:hAnsi="仿宋_GB2312"/>
          <w:color w:val="000000" w:themeColor="text1"/>
          <w14:textFill>
            <w14:solidFill>
              <w14:schemeClr w14:val="tx1"/>
            </w14:solidFill>
          </w14:textFill>
        </w:rPr>
        <w:t>标的名称：二人位公寓床（挂梯）</w:t>
      </w:r>
    </w:p>
    <w:tbl>
      <w:tblPr>
        <w:tblStyle w:val="8"/>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1530"/>
        <w:gridCol w:w="7684"/>
      </w:tblGrid>
      <w:tr w14:paraId="4A272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8" w:hRule="atLeast"/>
          <w:jc w:val="center"/>
        </w:trPr>
        <w:tc>
          <w:tcPr>
            <w:tcW w:w="709" w:type="dxa"/>
            <w:tcBorders>
              <w:top w:val="single" w:color="auto" w:sz="2" w:space="0"/>
              <w:left w:val="single" w:color="auto" w:sz="2" w:space="0"/>
              <w:bottom w:val="single" w:color="auto" w:sz="2" w:space="0"/>
              <w:right w:val="single" w:color="auto" w:sz="2" w:space="0"/>
            </w:tcBorders>
            <w:vAlign w:val="center"/>
          </w:tcPr>
          <w:p w14:paraId="2523FA6F">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序号</w:t>
            </w:r>
          </w:p>
        </w:tc>
        <w:tc>
          <w:tcPr>
            <w:tcW w:w="1530" w:type="dxa"/>
            <w:tcBorders>
              <w:top w:val="single" w:color="auto" w:sz="2" w:space="0"/>
              <w:left w:val="single" w:color="auto" w:sz="2" w:space="0"/>
              <w:bottom w:val="single" w:color="auto" w:sz="2" w:space="0"/>
              <w:right w:val="single" w:color="auto" w:sz="2" w:space="0"/>
            </w:tcBorders>
            <w:vAlign w:val="center"/>
          </w:tcPr>
          <w:p w14:paraId="10FD35B9">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技术要求名称</w:t>
            </w:r>
          </w:p>
        </w:tc>
        <w:tc>
          <w:tcPr>
            <w:tcW w:w="7684" w:type="dxa"/>
            <w:tcBorders>
              <w:top w:val="single" w:color="auto" w:sz="2" w:space="0"/>
              <w:left w:val="single" w:color="auto" w:sz="2" w:space="0"/>
              <w:bottom w:val="single" w:color="auto" w:sz="2" w:space="0"/>
              <w:right w:val="single" w:color="auto" w:sz="2" w:space="0"/>
            </w:tcBorders>
            <w:vAlign w:val="center"/>
          </w:tcPr>
          <w:p w14:paraId="5D02A956">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技术参数与性能指标</w:t>
            </w:r>
          </w:p>
        </w:tc>
      </w:tr>
      <w:tr w14:paraId="4D7F9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tcBorders>
              <w:top w:val="single" w:color="auto" w:sz="2" w:space="0"/>
              <w:left w:val="single" w:color="auto" w:sz="2" w:space="0"/>
              <w:bottom w:val="single" w:color="auto" w:sz="2" w:space="0"/>
              <w:right w:val="single" w:color="auto" w:sz="2" w:space="0"/>
            </w:tcBorders>
            <w:vAlign w:val="center"/>
          </w:tcPr>
          <w:p w14:paraId="5BC6209E">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w:t>
            </w:r>
          </w:p>
        </w:tc>
        <w:tc>
          <w:tcPr>
            <w:tcW w:w="1530" w:type="dxa"/>
            <w:tcBorders>
              <w:top w:val="single" w:color="auto" w:sz="2" w:space="0"/>
              <w:left w:val="single" w:color="auto" w:sz="2" w:space="0"/>
              <w:bottom w:val="single" w:color="auto" w:sz="2" w:space="0"/>
              <w:right w:val="single" w:color="auto" w:sz="2" w:space="0"/>
            </w:tcBorders>
            <w:vAlign w:val="center"/>
          </w:tcPr>
          <w:p w14:paraId="1854B82B">
            <w:pPr>
              <w:pStyle w:val="11"/>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二人位公寓床（挂梯）</w:t>
            </w:r>
          </w:p>
        </w:tc>
        <w:tc>
          <w:tcPr>
            <w:tcW w:w="7684" w:type="dxa"/>
            <w:tcBorders>
              <w:top w:val="single" w:color="auto" w:sz="2" w:space="0"/>
              <w:left w:val="single" w:color="auto" w:sz="2" w:space="0"/>
              <w:bottom w:val="single" w:color="auto" w:sz="2" w:space="0"/>
              <w:right w:val="single" w:color="auto" w:sz="2" w:space="0"/>
            </w:tcBorders>
          </w:tcPr>
          <w:p w14:paraId="052A1B72">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●1.规格要求：</w:t>
            </w:r>
            <w:r>
              <w:rPr>
                <w:rFonts w:hint="eastAsia" w:ascii="仿宋" w:hAnsi="仿宋" w:eastAsia="仿宋" w:cs="仿宋"/>
                <w:color w:val="000000" w:themeColor="text1"/>
                <w14:textFill>
                  <w14:solidFill>
                    <w14:schemeClr w14:val="tx1"/>
                  </w14:solidFill>
                </w14:textFill>
              </w:rPr>
              <w:t>长4000mm×宽900mm×高2785mm（偏差±</w:t>
            </w:r>
            <w:r>
              <w:rPr>
                <w:rFonts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0mm），宽不含床梯。</w:t>
            </w:r>
          </w:p>
          <w:p w14:paraId="3B6BA561">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●2.配置要求：</w:t>
            </w:r>
            <w:r>
              <w:rPr>
                <w:rFonts w:hint="eastAsia" w:ascii="仿宋" w:hAnsi="仿宋" w:eastAsia="仿宋" w:cs="仿宋"/>
                <w:color w:val="000000" w:themeColor="text1"/>
                <w14:textFill>
                  <w14:solidFill>
                    <w14:schemeClr w14:val="tx1"/>
                  </w14:solidFill>
                </w14:textFill>
              </w:rPr>
              <w:t>二人位公寓床（挂梯）由2个上铺、蚊帐架及床上悬挂储物架和实木挂衣桩、钢塑床头立挡、钢木床尾立挡、床下钢木桌柜架（含衣柜及柜下抽屉、正面及侧面书架、鞋柜、写字桌、正面储物吊柜）、实木多层胶合床铺板、钢塑挂梯等部件构成。柜、抽门上激光打印“使用功能引导标识”。金属件经除油除锈后喷涂热固性环氧树脂粉末高温固化防锈处理，成品家具金属件外露管口需封闭，地面接触面安装塑料脚垫。</w:t>
            </w:r>
          </w:p>
          <w:p w14:paraId="2BB44039">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●3.钢塑床铺基本要求</w:t>
            </w:r>
          </w:p>
          <w:p w14:paraId="3D109736">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3.1床铺前后横梁间间距≥8</w:t>
            </w:r>
            <w:r>
              <w:rPr>
                <w:rFonts w:ascii="仿宋" w:hAnsi="仿宋" w:eastAsia="仿宋" w:cs="仿宋"/>
                <w:color w:val="000000" w:themeColor="text1"/>
                <w14:textFill>
                  <w14:solidFill>
                    <w14:schemeClr w14:val="tx1"/>
                  </w14:solidFill>
                </w14:textFill>
              </w:rPr>
              <w:t>00mm</w:t>
            </w:r>
            <w:r>
              <w:rPr>
                <w:rFonts w:hint="eastAsia" w:ascii="仿宋" w:hAnsi="仿宋" w:eastAsia="仿宋" w:cs="仿宋"/>
                <w:color w:val="000000" w:themeColor="text1"/>
                <w14:textFill>
                  <w14:solidFill>
                    <w14:schemeClr w14:val="tx1"/>
                  </w14:solidFill>
                </w14:textFill>
              </w:rPr>
              <w:t>，横梁为多边形焊管截面长≥85mm×宽≥40mm×壁厚≥1.2mm，横梁闭合面一条焊缝，多边形管样式不做指定要求；</w:t>
            </w:r>
            <w:r>
              <w:rPr>
                <w:rFonts w:hint="eastAsia" w:ascii="仿宋" w:hAnsi="仿宋" w:eastAsia="仿宋" w:cs="仿宋"/>
                <w:color w:val="000000" w:themeColor="text1"/>
                <w14:textFill>
                  <w14:solidFill>
                    <w14:schemeClr w14:val="tx1"/>
                  </w14:solidFill>
                </w14:textFill>
              </w:rPr>
              <w:t>横梁安全要求人员站立时头部与横梁接触面</w:t>
            </w:r>
            <w:r>
              <w:rPr>
                <w:rFonts w:hint="eastAsia" w:ascii="仿宋" w:hAnsi="仿宋" w:eastAsia="仿宋" w:cs="仿宋"/>
                <w:color w:val="000000" w:themeColor="text1"/>
                <w:lang w:val="en-US" w:eastAsia="zh-CN"/>
                <w14:textFill>
                  <w14:solidFill>
                    <w14:schemeClr w14:val="tx1"/>
                  </w14:solidFill>
                </w14:textFill>
              </w:rPr>
              <w:t>做</w:t>
            </w:r>
            <w:r>
              <w:rPr>
                <w:rFonts w:hint="eastAsia" w:ascii="仿宋" w:hAnsi="仿宋" w:eastAsia="仿宋" w:cs="仿宋"/>
                <w:color w:val="000000" w:themeColor="text1"/>
                <w14:textFill>
                  <w14:solidFill>
                    <w14:schemeClr w14:val="tx1"/>
                  </w14:solidFill>
                </w14:textFill>
              </w:rPr>
              <w:t>大弧形安全倒角，强度要求横梁正面设置总长≥1600mm不外凸加强筋，功能要求横梁正面</w:t>
            </w:r>
            <w:r>
              <w:rPr>
                <w:rFonts w:hint="eastAsia" w:ascii="仿宋" w:hAnsi="仿宋" w:eastAsia="仿宋" w:cs="仿宋"/>
                <w:color w:val="000000" w:themeColor="text1"/>
                <w:lang w:val="en-US" w:eastAsia="zh-CN"/>
                <w14:textFill>
                  <w14:solidFill>
                    <w14:schemeClr w14:val="tx1"/>
                  </w14:solidFill>
                </w14:textFill>
              </w:rPr>
              <w:t>设置</w:t>
            </w:r>
            <w:r>
              <w:rPr>
                <w:rFonts w:hint="eastAsia" w:ascii="仿宋" w:hAnsi="仿宋" w:eastAsia="仿宋" w:cs="仿宋"/>
                <w:color w:val="000000" w:themeColor="text1"/>
                <w14:textFill>
                  <w14:solidFill>
                    <w14:schemeClr w14:val="tx1"/>
                  </w14:solidFill>
                </w14:textFill>
              </w:rPr>
              <w:t>长≥50mm×宽≥30mm名片卡槽。</w:t>
            </w:r>
          </w:p>
          <w:p w14:paraId="64DF7A41">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3.2正面栏板高密度聚乙烯材料中空吹塑成型（外观样式不做指定要求），栏板长≥1355mm，高≥355mm，厚≥30mm；栏板安全强度要求：板面设置不低于</w:t>
            </w:r>
            <w:r>
              <w:rPr>
                <w:rFonts w:hint="eastAsia" w:ascii="仿宋" w:hAnsi="仿宋" w:eastAsia="仿宋" w:cs="仿宋"/>
                <w:color w:val="000000" w:themeColor="text1"/>
                <w:lang w:val="en-US" w:eastAsia="zh-CN"/>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条每条长≥</w:t>
            </w:r>
            <w:r>
              <w:rPr>
                <w:rFonts w:ascii="仿宋" w:hAnsi="仿宋" w:eastAsia="仿宋" w:cs="仿宋"/>
                <w:color w:val="000000" w:themeColor="text1"/>
                <w14:textFill>
                  <w14:solidFill>
                    <w14:schemeClr w14:val="tx1"/>
                  </w14:solidFill>
                </w14:textFill>
              </w:rPr>
              <w:t>800mm</w:t>
            </w:r>
            <w:r>
              <w:rPr>
                <w:rFonts w:hint="eastAsia" w:ascii="仿宋" w:hAnsi="仿宋" w:eastAsia="仿宋" w:cs="仿宋"/>
                <w:color w:val="000000" w:themeColor="text1"/>
                <w14:textFill>
                  <w14:solidFill>
                    <w14:schemeClr w14:val="tx1"/>
                  </w14:solidFill>
                </w14:textFill>
              </w:rPr>
              <w:t>的</w:t>
            </w:r>
            <w:r>
              <w:rPr>
                <w:rFonts w:hint="eastAsia" w:ascii="仿宋" w:hAnsi="仿宋" w:eastAsia="仿宋" w:cs="仿宋"/>
                <w:color w:val="000000" w:themeColor="text1"/>
                <w:lang w:val="en-US" w:eastAsia="zh-CN"/>
                <w14:textFill>
                  <w14:solidFill>
                    <w14:schemeClr w14:val="tx1"/>
                  </w14:solidFill>
                </w14:textFill>
              </w:rPr>
              <w:t>不外凸</w:t>
            </w:r>
            <w:r>
              <w:rPr>
                <w:rFonts w:hint="eastAsia" w:ascii="仿宋" w:hAnsi="仿宋" w:eastAsia="仿宋" w:cs="仿宋"/>
                <w:color w:val="000000" w:themeColor="text1"/>
                <w:lang w:val="en-US" w:eastAsia="zh-CN"/>
                <w14:textFill>
                  <w14:solidFill>
                    <w14:schemeClr w14:val="tx1"/>
                  </w14:solidFill>
                </w14:textFill>
              </w:rPr>
              <w:t>的</w:t>
            </w:r>
            <w:r>
              <w:rPr>
                <w:rFonts w:hint="eastAsia" w:ascii="仿宋" w:hAnsi="仿宋" w:eastAsia="仿宋" w:cs="仿宋"/>
                <w:color w:val="000000" w:themeColor="text1"/>
                <w14:textFill>
                  <w14:solidFill>
                    <w14:schemeClr w14:val="tx1"/>
                  </w14:solidFill>
                </w14:textFill>
              </w:rPr>
              <w:t>加强筋，栏板正面、背面、顶面均覆盖加强筋；栏板安全功能要求：栏板面设置长≥615mm，高≥60mm的扶手孔，栏板顶边及两侧边圆弧倒棱处理；离栏板底端高90±10mm处设置同栏板一体成型的床褥；不低于三根钢管穿入中空护栏内部通过螺丝定稳固。</w:t>
            </w:r>
          </w:p>
          <w:p w14:paraId="5AFFD946">
            <w:pPr>
              <w:pStyle w:val="11"/>
              <w:ind w:firstLine="240" w:firstLineChars="100"/>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r>
              <w:rPr>
                <w:rFonts w:ascii="仿宋" w:hAnsi="仿宋" w:eastAsia="仿宋" w:cs="仿宋"/>
                <w:color w:val="000000" w:themeColor="text1"/>
                <w14:textFill>
                  <w14:solidFill>
                    <w14:schemeClr w14:val="tx1"/>
                  </w14:solidFill>
                </w14:textFill>
              </w:rPr>
              <w:t xml:space="preserve">3 </w:t>
            </w:r>
            <w:r>
              <w:rPr>
                <w:rFonts w:hint="eastAsia" w:ascii="仿宋" w:hAnsi="仿宋" w:eastAsia="仿宋" w:cs="仿宋"/>
                <w:color w:val="000000" w:themeColor="text1"/>
                <w14:textFill>
                  <w14:solidFill>
                    <w14:schemeClr w14:val="tx1"/>
                  </w14:solidFill>
                </w14:textFill>
              </w:rPr>
              <w:t>横梁与立柱采用≥1.5mm冷轧钢板成型的弧形卡扣连接，卡扣挂齿≥</w:t>
            </w:r>
            <w:r>
              <w:rPr>
                <w:rFonts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个。床铺板实木多层胶合板厚≥9mm。悬浮式蚊帐架采用≥1.2mm钢管成型。床换壁厚≥1.2mm，数量≥7根。蚊帐架后方上设置实木挂衣桩及悬挂储物架，储物架采用≥15mm厚浸渍胶膜纸饰面刨花板截面PVC封边，架高≥320mm，长≥600mm，两端倒角预防碰头处理。</w:t>
            </w:r>
          </w:p>
          <w:p w14:paraId="20761E4C">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●4.钢塑床头立挡基本要求</w:t>
            </w:r>
          </w:p>
          <w:p w14:paraId="1BB8E8AA">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4.1立柱通顶，床挡立柱间净空规格≥775mm。立柱多边形焊管截面长≥60mm×宽≥62mm×壁厚≥1.2mm，型材闭合面一条焊缝，多边形管样式不做指定要求；安全要求立柱内侧人体接触面为宽≥10mm弧形防碰。</w:t>
            </w:r>
          </w:p>
          <w:p w14:paraId="1FC277EF">
            <w:pPr>
              <w:pStyle w:val="11"/>
              <w:ind w:firstLine="240" w:firstLineChars="100"/>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r>
              <w:rPr>
                <w:rFonts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床头栏板高密度聚乙烯材料中空吹塑成型（外观样式不做要求），床头栏板长≥775mm，高≥355mm，厚≥30mm；安全功能要求：栏板面设置长≥315mm，高≥35mm椭圆扶手孔，孔四周圆弧处理；安全强度要求正面、背面设置不低于</w:t>
            </w:r>
            <w:r>
              <w:rPr>
                <w:rFonts w:hint="eastAsia" w:ascii="仿宋" w:hAnsi="仿宋" w:eastAsia="仿宋" w:cs="仿宋"/>
                <w:color w:val="000000" w:themeColor="text1"/>
                <w:lang w:val="en-US" w:eastAsia="zh-CN"/>
                <w14:textFill>
                  <w14:solidFill>
                    <w14:schemeClr w14:val="tx1"/>
                  </w14:solidFill>
                </w14:textFill>
              </w:rPr>
              <w:t>4</w:t>
            </w:r>
            <w:r>
              <w:rPr>
                <w:rFonts w:hint="eastAsia" w:ascii="仿宋" w:hAnsi="仿宋" w:eastAsia="仿宋" w:cs="仿宋"/>
                <w:color w:val="000000" w:themeColor="text1"/>
                <w14:textFill>
                  <w14:solidFill>
                    <w14:schemeClr w14:val="tx1"/>
                  </w14:solidFill>
                </w14:textFill>
              </w:rPr>
              <w:t>条每条长≥</w:t>
            </w:r>
            <w:r>
              <w:rPr>
                <w:rFonts w:ascii="仿宋" w:hAnsi="仿宋" w:eastAsia="仿宋" w:cs="仿宋"/>
                <w:color w:val="000000" w:themeColor="text1"/>
                <w14:textFill>
                  <w14:solidFill>
                    <w14:schemeClr w14:val="tx1"/>
                  </w14:solidFill>
                </w14:textFill>
              </w:rPr>
              <w:t>700mm</w:t>
            </w:r>
            <w:r>
              <w:rPr>
                <w:rFonts w:hint="eastAsia" w:ascii="仿宋" w:hAnsi="仿宋" w:eastAsia="仿宋" w:cs="仿宋"/>
                <w:color w:val="000000" w:themeColor="text1"/>
                <w:lang w:val="en-US" w:eastAsia="zh-CN"/>
                <w14:textFill>
                  <w14:solidFill>
                    <w14:schemeClr w14:val="tx1"/>
                  </w14:solidFill>
                </w14:textFill>
              </w:rPr>
              <w:t>不外凸的</w:t>
            </w:r>
            <w:r>
              <w:rPr>
                <w:rFonts w:hint="eastAsia" w:ascii="仿宋" w:hAnsi="仿宋" w:eastAsia="仿宋" w:cs="仿宋"/>
                <w:color w:val="000000" w:themeColor="text1"/>
                <w14:textFill>
                  <w14:solidFill>
                    <w14:schemeClr w14:val="tx1"/>
                  </w14:solidFill>
                </w14:textFill>
              </w:rPr>
              <w:t>加强筋。栏板采用不低于两根钢管穿入中空护栏内部螺丝固定稳固。</w:t>
            </w:r>
          </w:p>
          <w:p w14:paraId="027FCBD1">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●5.钢木床尾立挡基本要求</w:t>
            </w:r>
          </w:p>
          <w:p w14:paraId="41C631AF">
            <w:pPr>
              <w:pStyle w:val="11"/>
              <w:ind w:firstLine="240" w:firstLineChars="100"/>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5.1钢木床尾立档，床挡立柱间净空规格≥</w:t>
            </w:r>
            <w:r>
              <w:rPr>
                <w:rFonts w:ascii="仿宋" w:hAnsi="仿宋" w:eastAsia="仿宋" w:cs="仿宋"/>
                <w:color w:val="000000" w:themeColor="text1"/>
                <w14:textFill>
                  <w14:solidFill>
                    <w14:schemeClr w14:val="tx1"/>
                  </w14:solidFill>
                </w14:textFill>
              </w:rPr>
              <w:t>7</w:t>
            </w:r>
            <w:r>
              <w:rPr>
                <w:rFonts w:hint="eastAsia" w:ascii="仿宋" w:hAnsi="仿宋" w:eastAsia="仿宋" w:cs="仿宋"/>
                <w:color w:val="000000" w:themeColor="text1"/>
                <w14:textFill>
                  <w14:solidFill>
                    <w14:schemeClr w14:val="tx1"/>
                  </w14:solidFill>
                </w14:textFill>
              </w:rPr>
              <w:t>75mm。立柱多边型焊管截面长≥60mm×宽≥70mm×壁厚≥1.2mm，型材闭合面一条焊缝，多边形管样式不做指定要求；安全要求立柱内侧与床梁连接面为宽≥10mm弧形防碰。中立柱上部分蚊帐架立柱2根，立柱固定件贴近床铺面规避影响安装蚊帐。</w:t>
            </w:r>
          </w:p>
          <w:p w14:paraId="1F5F890C">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5.2床尾栏板采用钢管固定安装在床挡上，栏板基材≥18mm厚浸渍胶膜纸饰面纤维板，四周PP材质一体气辅注塑包边，外观样式不做要求，床尾栏板长≥600mm，高≥350mm，厚≥28mm。安全功能要求：栏板面一体气辅注塑直径≥140mm圆形或长轴≥140mm×短轴≥40mm椭圆形扶手孔。</w:t>
            </w:r>
          </w:p>
          <w:p w14:paraId="2F194E5A">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●6.床下钢木桌、柜、架组合基本要求</w:t>
            </w:r>
          </w:p>
          <w:p w14:paraId="78DFA6FD">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6.1衣柜、吊柜、鞋柜、抽屉、书架基材≥0.7mm冷轧钢板，其中衣柜门、吊柜门、抽门钢转印木纹，衣柜背面增加≥2组排气孔。</w:t>
            </w:r>
          </w:p>
          <w:p w14:paraId="37161F03">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6.2衣柜宽≥615mm×深≥620mm×高≥1685mm，柜门靠立挡一边设置壁厚≥0.8mm的洞洞板，柜内设置不锈钢挂衣杆及隔板，柜下设置2个抽屉，其中1个抽屉内采用浸渍胶膜纸饰面刨花板PVC封边且隔成小储物格，抽屉配三节抽屉滑轨。</w:t>
            </w:r>
          </w:p>
          <w:p w14:paraId="66B08D87">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6.3正面书架≥1层，侧面书架≥2隔板，深≥350mm，侧面书架长≥780mm，书架外侧板设置洞洞板。</w:t>
            </w:r>
          </w:p>
          <w:p w14:paraId="1E327346">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6.4鞋柜≥3层配移门，宽≥350mm，长≥780mm。</w:t>
            </w:r>
          </w:p>
          <w:p w14:paraId="107D083E">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6.5写字桌桌面采用厚≥25mm浸渍胶膜纸饰面刨花板，桌面总宽≥600mm×长≥1000mm。桌面上方靠衣柜一侧设置悬挂储物吊柜。</w:t>
            </w:r>
            <w:r>
              <w:rPr>
                <w:rFonts w:hint="eastAsia" w:ascii="仿宋" w:hAnsi="仿宋" w:eastAsia="仿宋" w:cs="仿宋"/>
                <w:color w:val="000000" w:themeColor="text1"/>
                <w14:textFill>
                  <w14:solidFill>
                    <w14:schemeClr w14:val="tx1"/>
                  </w14:solidFill>
                </w14:textFill>
              </w:rPr>
              <w:t>柜门铝合金拉手长6</w:t>
            </w:r>
            <w:r>
              <w:rPr>
                <w:rFonts w:ascii="仿宋" w:hAnsi="仿宋" w:eastAsia="仿宋" w:cs="仿宋"/>
                <w:color w:val="000000" w:themeColor="text1"/>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mm（±2</w:t>
            </w:r>
            <w:r>
              <w:rPr>
                <w:rFonts w:ascii="仿宋" w:hAnsi="仿宋" w:eastAsia="仿宋" w:cs="仿宋"/>
                <w:color w:val="000000" w:themeColor="text1"/>
                <w14:textFill>
                  <w14:solidFill>
                    <w14:schemeClr w14:val="tx1"/>
                  </w14:solidFill>
                </w14:textFill>
              </w:rPr>
              <w:t>mm）</w:t>
            </w:r>
            <w:r>
              <w:rPr>
                <w:rFonts w:hint="eastAsia" w:ascii="仿宋" w:hAnsi="仿宋" w:eastAsia="仿宋" w:cs="仿宋"/>
                <w:color w:val="000000" w:themeColor="text1"/>
                <w14:textFill>
                  <w14:solidFill>
                    <w14:schemeClr w14:val="tx1"/>
                  </w14:solidFill>
                </w14:textFill>
              </w:rPr>
              <w:t>×宽1</w:t>
            </w:r>
            <w:r>
              <w:rPr>
                <w:rFonts w:ascii="仿宋" w:hAnsi="仿宋" w:eastAsia="仿宋" w:cs="仿宋"/>
                <w:color w:val="000000" w:themeColor="text1"/>
                <w14:textFill>
                  <w14:solidFill>
                    <w14:schemeClr w14:val="tx1"/>
                  </w14:solidFill>
                </w14:textFill>
              </w:rPr>
              <w:t>8</w:t>
            </w:r>
            <w:r>
              <w:rPr>
                <w:rFonts w:hint="eastAsia" w:ascii="仿宋" w:hAnsi="仿宋" w:eastAsia="仿宋" w:cs="仿宋"/>
                <w:color w:val="000000" w:themeColor="text1"/>
                <w14:textFill>
                  <w14:solidFill>
                    <w14:schemeClr w14:val="tx1"/>
                  </w14:solidFill>
                </w14:textFill>
              </w:rPr>
              <w:t>mm（±2</w:t>
            </w:r>
            <w:r>
              <w:rPr>
                <w:rFonts w:ascii="仿宋" w:hAnsi="仿宋" w:eastAsia="仿宋" w:cs="仿宋"/>
                <w:color w:val="000000" w:themeColor="text1"/>
                <w14:textFill>
                  <w14:solidFill>
                    <w14:schemeClr w14:val="tx1"/>
                  </w14:solidFill>
                </w14:textFill>
              </w:rPr>
              <w:t>mm）</w:t>
            </w:r>
            <w:r>
              <w:rPr>
                <w:rFonts w:hint="eastAsia" w:ascii="仿宋" w:hAnsi="仿宋" w:eastAsia="仿宋" w:cs="仿宋"/>
                <w:color w:val="000000" w:themeColor="text1"/>
                <w14:textFill>
                  <w14:solidFill>
                    <w14:schemeClr w14:val="tx1"/>
                  </w14:solidFill>
                </w14:textFill>
              </w:rPr>
              <w:t>×厚</w:t>
            </w:r>
            <w:r>
              <w:rPr>
                <w:rFonts w:ascii="仿宋" w:hAnsi="仿宋" w:eastAsia="仿宋" w:cs="仿宋"/>
                <w:color w:val="000000" w:themeColor="text1"/>
                <w14:textFill>
                  <w14:solidFill>
                    <w14:schemeClr w14:val="tx1"/>
                  </w14:solidFill>
                </w14:textFill>
              </w:rPr>
              <w:t>15</w:t>
            </w:r>
            <w:r>
              <w:rPr>
                <w:rFonts w:hint="eastAsia" w:ascii="仿宋" w:hAnsi="仿宋" w:eastAsia="仿宋" w:cs="仿宋"/>
                <w:color w:val="000000" w:themeColor="text1"/>
                <w14:textFill>
                  <w14:solidFill>
                    <w14:schemeClr w14:val="tx1"/>
                  </w14:solidFill>
                </w14:textFill>
              </w:rPr>
              <w:t>mm（±2</w:t>
            </w:r>
            <w:r>
              <w:rPr>
                <w:rFonts w:ascii="仿宋" w:hAnsi="仿宋" w:eastAsia="仿宋" w:cs="仿宋"/>
                <w:color w:val="000000" w:themeColor="text1"/>
                <w14:textFill>
                  <w14:solidFill>
                    <w14:schemeClr w14:val="tx1"/>
                  </w14:solidFill>
                </w14:textFill>
              </w:rPr>
              <w:t>mm）</w:t>
            </w:r>
            <w:r>
              <w:rPr>
                <w:rFonts w:hint="eastAsia" w:ascii="仿宋" w:hAnsi="仿宋" w:eastAsia="仿宋" w:cs="仿宋"/>
                <w:color w:val="000000" w:themeColor="text1"/>
                <w14:textFill>
                  <w14:solidFill>
                    <w14:schemeClr w14:val="tx1"/>
                  </w14:solidFill>
                </w14:textFill>
              </w:rPr>
              <w:t>，锁扣盖板</w:t>
            </w:r>
            <w:r>
              <w:rPr>
                <w:rFonts w:ascii="仿宋" w:hAnsi="仿宋" w:eastAsia="仿宋" w:cs="仿宋"/>
                <w:color w:val="000000" w:themeColor="text1"/>
                <w14:textFill>
                  <w14:solidFill>
                    <w14:schemeClr w14:val="tx1"/>
                  </w14:solidFill>
                </w14:textFill>
              </w:rPr>
              <w:t>90</w:t>
            </w:r>
            <w:r>
              <w:rPr>
                <w:rFonts w:hint="eastAsia" w:ascii="仿宋" w:hAnsi="仿宋" w:eastAsia="仿宋" w:cs="仿宋"/>
                <w:color w:val="000000" w:themeColor="text1"/>
                <w14:textFill>
                  <w14:solidFill>
                    <w14:schemeClr w14:val="tx1"/>
                  </w14:solidFill>
                </w14:textFill>
              </w:rPr>
              <w:t>mm（±2</w:t>
            </w:r>
            <w:r>
              <w:rPr>
                <w:rFonts w:ascii="仿宋" w:hAnsi="仿宋" w:eastAsia="仿宋" w:cs="仿宋"/>
                <w:color w:val="000000" w:themeColor="text1"/>
                <w14:textFill>
                  <w14:solidFill>
                    <w14:schemeClr w14:val="tx1"/>
                  </w14:solidFill>
                </w14:textFill>
              </w:rPr>
              <w:t>mm）</w:t>
            </w:r>
            <w:r>
              <w:rPr>
                <w:rFonts w:hint="eastAsia" w:ascii="仿宋" w:hAnsi="仿宋" w:eastAsia="仿宋" w:cs="仿宋"/>
                <w:color w:val="000000" w:themeColor="text1"/>
                <w14:textFill>
                  <w14:solidFill>
                    <w14:schemeClr w14:val="tx1"/>
                  </w14:solidFill>
                </w14:textFill>
              </w:rPr>
              <w:t>×厚</w:t>
            </w:r>
            <w:r>
              <w:rPr>
                <w:rFonts w:ascii="仿宋" w:hAnsi="仿宋" w:eastAsia="仿宋" w:cs="仿宋"/>
                <w:color w:val="000000" w:themeColor="text1"/>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mm（±2</w:t>
            </w:r>
            <w:r>
              <w:rPr>
                <w:rFonts w:ascii="仿宋" w:hAnsi="仿宋" w:eastAsia="仿宋" w:cs="仿宋"/>
                <w:color w:val="000000" w:themeColor="text1"/>
                <w14:textFill>
                  <w14:solidFill>
                    <w14:schemeClr w14:val="tx1"/>
                  </w14:solidFill>
                </w14:textFill>
              </w:rPr>
              <w:t>mm）</w:t>
            </w:r>
            <w:r>
              <w:rPr>
                <w:rFonts w:hint="eastAsia" w:ascii="仿宋" w:hAnsi="仿宋" w:eastAsia="仿宋" w:cs="仿宋"/>
                <w:color w:val="000000" w:themeColor="text1"/>
                <w14:textFill>
                  <w14:solidFill>
                    <w14:schemeClr w14:val="tx1"/>
                  </w14:solidFill>
                </w14:textFill>
              </w:rPr>
              <w:t>，拉手包皮革，安全要求锁扣安装完成后不能凸出拉手外平面。</w:t>
            </w:r>
          </w:p>
          <w:p w14:paraId="27B1F4C3">
            <w:pPr>
              <w:pStyle w:val="11"/>
              <w:ind w:firstLine="241"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●7.钢塑挂梯基本要求</w:t>
            </w:r>
          </w:p>
          <w:p w14:paraId="7107A631">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7.1踏板长≥560mm，宽≥150mm，厚≥18mm，采用≥1.5mm厚冷轧钢板成型。安全及功能要求：踏板面设置外凸防滑条和不低于2 颗塑料夜光防滑条。梯立柱钢管，壁厚≥1.2mm。</w:t>
            </w:r>
          </w:p>
        </w:tc>
      </w:tr>
      <w:tr w14:paraId="2F6A89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tcBorders>
              <w:top w:val="single" w:color="auto" w:sz="2" w:space="0"/>
              <w:left w:val="single" w:color="auto" w:sz="2" w:space="0"/>
              <w:bottom w:val="single" w:color="auto" w:sz="2" w:space="0"/>
              <w:right w:val="single" w:color="auto" w:sz="2" w:space="0"/>
            </w:tcBorders>
            <w:vAlign w:val="center"/>
          </w:tcPr>
          <w:p w14:paraId="4EE664E0">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2</w:t>
            </w:r>
          </w:p>
        </w:tc>
        <w:tc>
          <w:tcPr>
            <w:tcW w:w="1530" w:type="dxa"/>
            <w:tcBorders>
              <w:top w:val="single" w:color="auto" w:sz="2" w:space="0"/>
              <w:left w:val="single" w:color="auto" w:sz="2" w:space="0"/>
              <w:bottom w:val="single" w:color="auto" w:sz="2" w:space="0"/>
              <w:right w:val="single" w:color="auto" w:sz="2" w:space="0"/>
            </w:tcBorders>
            <w:vAlign w:val="center"/>
          </w:tcPr>
          <w:p w14:paraId="27842809">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产品材料、部件要求</w:t>
            </w:r>
          </w:p>
        </w:tc>
        <w:tc>
          <w:tcPr>
            <w:tcW w:w="7684" w:type="dxa"/>
            <w:tcBorders>
              <w:top w:val="single" w:color="auto" w:sz="2" w:space="0"/>
              <w:left w:val="single" w:color="auto" w:sz="2" w:space="0"/>
              <w:bottom w:val="single" w:color="auto" w:sz="2" w:space="0"/>
              <w:right w:val="single" w:color="auto" w:sz="2" w:space="0"/>
            </w:tcBorders>
          </w:tcPr>
          <w:p w14:paraId="79900DFA">
            <w:pPr>
              <w:pStyle w:val="11"/>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▲1.I型1类热固性粉末涂料喷涂横梁：包括但不限于符合GB/T 3325-2024金属家具通用技术条件的规定，即：金属件表面理化性能金属喷塑涂层硬度、冲击强度、耐盐浴检测合格，附着力2级或优于2级。</w:t>
            </w:r>
          </w:p>
          <w:p w14:paraId="63724EB0">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 横梁钢材：包括但不限于符合GB/T 3094-2012冷拔异型钢管的规定，即：钢管的力学性能抗拉强度（Rm）≥315MPa，下屈服强度（PeL）≥195MPa，断后伸长率（A）≥20%，化学成分C≤0.12%，Si≤0.3%，Mn≤0.5%，P≤0.035%,S≤0.04%。</w:t>
            </w:r>
          </w:p>
          <w:p w14:paraId="12984791">
            <w:pPr>
              <w:pStyle w:val="11"/>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▲3.I型1类热固性粉末涂料喷涂立柱： 包括但不限于符合GB/T 3325-2024金属家具通用技术条件的规定，即：金属件表面理化性能金属喷塑涂层硬度、冲击强度、耐盐浴检测合格，附着力2级或优于2级。</w:t>
            </w:r>
          </w:p>
          <w:p w14:paraId="3FFE82A6">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▲4.立柱钢材：包括但不限于符合GB/T 3094-2012冷拔异型钢管的规定，即：钢管的力学性能抗拉强度（Rm）≥315MPa，下屈服强度（PeL）≥195MPa，断后伸长率（A）≥20%，化学成分C≤0.12%，Si≤0.3%，Mn≤0.5%，P≤0.035%,S≤0.04%。</w:t>
            </w:r>
          </w:p>
          <w:p w14:paraId="1B39D0FB">
            <w:pPr>
              <w:pStyle w:val="11"/>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▲5.I型1类热固性粉末涂料喷涂床换：包括但不限于符合GB/T 3325-2024金属家具通用技术条件的规定，即：金属件表面理化性能金属喷塑涂层硬度、冲击强度、耐盐浴检测合格，附着力2级或优于2级.</w:t>
            </w:r>
          </w:p>
          <w:p w14:paraId="2BAA0C8D">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▲6.床换钢材：包括但不限于符合GB/T 3094-2012冷拔异型钢管的规定，即：钢管的力学性能抗拉强度（Rm）≥315MPa，下屈服强度（PeL）≥195MPa，断后伸长率（A）≥20%，化学成分C≤0.12%，Si≤0.3%，Mn≤0.5%，P≤0.035%,S≤0.04%。 </w:t>
            </w:r>
          </w:p>
          <w:p w14:paraId="684288F2">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▲7.多层实木（普通胶合板）床铺板：包括但不限于符合GB/T 9846-2015普通胶合板的规定，即：胶合强度检测≥1MPa；浸渍剥离当胶合板相邻层单板木纹方向相同时，应进行浸渍剥离试验，每个试件同一胶层每边剥离长度累计不超过25mm；静曲强度顺纹≥28MPa，横纹≥16MPa；弹性模量顺纹≥5000MPa，横纹≥2500MPa，含水率5%~14%； GB/T 39600-2021人造板及其制品甲醛释放量分级的规定，甲醛释放限量≤0.05mg/m³； GB/T 35601-2024绿色产品评价人造板和木质地板的规定，即挥发性有机化合物（72h），苯≤2μg/m³，甲苯≤10μg/m³，二甲苯≤10μg/m³，总挥发性有机化合物（TVOC）≤100μg/m³，可溶性重金属总含量≤50mg/kg，铅≤50mg/kg，镉≤50mg/kg，铬≤25mg/kg，汞≤25mg/kg。 </w:t>
            </w:r>
          </w:p>
          <w:p w14:paraId="1880BE46">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▲8.聚乙烯材料中空吹塑板：包括但不限于符合GB/T 32487-2016塑料家具通用技术条件的规定，即：塑料材料理化性能耐老化性室内用≥240h,冲击强度的保持率≥60%，外观颜色变色评级≥3级，冲击强度≥10J/㎡；塑料件外观检测合格；塑料件耐冷热循环检测合格，硬度检测邵氏D硬度≥HD63。</w:t>
            </w:r>
          </w:p>
          <w:p w14:paraId="7DA9E76E">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 I型1类热固性粉末涂料：包括但不限于符合HG/T 2006-2022热固性和热塑性粉末涂料的规定，即：粉末涂料干附着力≤1级，杯突实验≥4mm，弯曲试验≤4mm，耐酸性[3%(质量分数)盐酸溶液]240h无异常，耐碱性[5%(质量分数)氢氧化钠溶液]室内用168h无异常，耐沸水性(2h)无异常，盐雾试验中性盐雾划痕处单向腐蚀蔓延宽度≤2.0mm，未划痕区无起泡、生锈、开裂、剥落等异常现象；耐湿性室内用500h无异常，耐冲击性(正向冲击)检测合格。</w:t>
            </w:r>
          </w:p>
          <w:p w14:paraId="600A462B">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▲10.浸渍胶膜纸饰面纤维板：包括但不限于符合GB/T 15102-2017浸渍胶膜纸饰面纤维板和刨花板的规定，即：外观质量要求干花、湿花检测合格，污斑、表面划痕、表面压痕、鼓泡、鼓包检测合格；浸渍胶膜纸饰面纤维板理化性能静曲强度≥24MPa,弹性模量≥2300MPa，内结合强度≥0.45MPa，24h吸水厚度膨胀率≤12%，板内密度偏差士10%，表面胶合强度≥0.60MPa，表面耐冷热循环检测无裂纹、鼓泡、变色、起皱等；表面耐划痕≥1.5N表面无大于90%的连续划痕；表面耐磨磨耗值≤80mg/100r，表面耐香烟灼烧、耐干热、表面耐污染腐蚀（素色）、耐龟裂、耐水蒸气、耐光色牢度（灰度卡）等级均≥4级，含水率检测3%~13%； GB/T 39600-2021人造板及其制品甲醛释放量分级的规定，即：甲醛释放限量≤0.05mg/m³。GB/T 35601-2024绿色产品评价人造板和木质地板的规定，即挥发性有机化合物（72h），苯≤2μg/m³，甲苯≤10μg/m³，二甲苯≤10μg/m³，总挥发性有机化合物（TVOC）≤100μg/m³，可溶性重金属总含量≤50mg/kg，铅≤50mg/kg，镉≤50mg/kg，铬≤25mg/kg，汞≤25mg/kg。  </w:t>
            </w:r>
          </w:p>
          <w:p w14:paraId="79096AA9">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▲11.浸渍胶膜纸饰面刨花板：包括但不限于符合GB/T 15102-2017浸渍胶膜纸饰面纤维板和刨花板的规定，即：外观质量要求干花、湿花检测合格，污斑、表面划痕、表面压痕、鼓泡、鼓包检测合格；浸渍胶膜纸饰面刨花板理化性能静曲强度≥11MPa,弹性模量≥1600MPa，内结合强度≥0.35MPa，2h吸水厚度膨胀率≤8%，密度0.6~0.9g/cm³，表面胶合强度≥0.60MPa，握螺钉力板面≥900N、板边≥600N，表面耐冷热循环检测无裂纹、鼓泡、变色、起皱等；表面耐划痕≥1.5N表面无大于90%的连续划痕；表面耐磨磨耗值≤80mg/100r，表面耐香烟灼烧、耐干热、表面耐污染腐蚀（素色）、耐龟裂、耐水蒸气、耐光色牢度（灰度卡）等级≥4级，含水率检测3%~13%； GB/T 39600-2021人造板及其制品甲醛释放量分级的规定，即：甲醛释放限量≤0.05mg/m³； GB/T 35601-2024绿色产品评价人造板和木质地板的规定，即挥发性有机化合物（72h），苯≤2μg/m³，甲苯≤10μg/m³，二甲苯≤10μg/m³，总挥发性有机化合物（TVOC）≤100μg/m³，可溶性重金属总含量≤50mg/kg，铅≤50mg/kg，镉≤50mg/kg，铬≤25mg/kg，汞≤25mg/kg。  </w:t>
            </w:r>
          </w:p>
          <w:p w14:paraId="5E75CF1F">
            <w:pPr>
              <w:pStyle w:val="11"/>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▲12、铝合金防滑条：包括但不限于符合GB/T 6892-2023一般工业用铝及铝合金挤压型材的规定，即：牌号6063 T5;室温拉伸力学性能抗拉强度≥175MPa、规定非比例延伸强度≥130MPa、断后伸长率≥6%，布氏硬度（HBW）≥6</w:t>
            </w:r>
            <w:r>
              <w:rPr>
                <w:rFonts w:ascii="仿宋" w:hAnsi="仿宋" w:eastAsia="仿宋" w:cs="仿宋"/>
                <w:color w:val="000000" w:themeColor="text1"/>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w:t>
            </w:r>
          </w:p>
          <w:p w14:paraId="23DC23BD">
            <w:pPr>
              <w:pStyle w:val="11"/>
              <w:ind w:firstLine="240" w:firstLineChars="100"/>
              <w:rPr>
                <w:rFonts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 二人位公寓床（挂梯）：包括但不限于符合GB 18584—2024《家具中有害物质限量》之规定，即：甲醛、苯、甲苯、二甲苯和TVOC的释放限量要求（甲醛≤0.08mg/m³，苯≤0.06 mg/m³，甲苯≤0.15 mg/m³，二甲苯（邻、间、对二甲苯之和）≤0.20mg/m³，总挥发性有机化合物（TVOC）≤0.50mg/m³）；家具中可迁移有害元素限量要求（锑≤60mg/kg，砷≤25mg/kg，钡≤1000mg/kg，镉≤75mg/kg，铬≤60mg/kg，铅≤90mg/kg，汞≤60mg/kg，硒≤500mg/kg）。邻苯二甲酸酯总量≤0.1%，多环芳烃笨并[a] 芘≤1.0mg/kg，18种多环芳烃（PAH）总量≤10mg/kg。</w:t>
            </w:r>
          </w:p>
        </w:tc>
      </w:tr>
    </w:tbl>
    <w:p w14:paraId="5F163A67">
      <w:pPr>
        <w:pStyle w:val="11"/>
        <w:rPr>
          <w:color w:val="000000" w:themeColor="text1"/>
          <w14:textFill>
            <w14:solidFill>
              <w14:schemeClr w14:val="tx1"/>
            </w14:solidFill>
          </w14:textFill>
        </w:rPr>
      </w:pPr>
      <w:r>
        <w:rPr>
          <w:rFonts w:ascii="仿宋_GB2312" w:hAnsi="仿宋_GB2312"/>
          <w:color w:val="000000" w:themeColor="text1"/>
          <w14:textFill>
            <w14:solidFill>
              <w14:schemeClr w14:val="tx1"/>
            </w14:solidFill>
          </w14:textFill>
        </w:rPr>
        <w:t>2</w:t>
      </w:r>
      <w:r>
        <w:rPr>
          <w:rFonts w:hint="eastAsia" w:ascii="仿宋_GB2312" w:hAnsi="仿宋_GB2312"/>
          <w:color w:val="000000" w:themeColor="text1"/>
          <w14:textFill>
            <w14:solidFill>
              <w14:schemeClr w14:val="tx1"/>
            </w14:solidFill>
          </w14:textFill>
        </w:rPr>
        <w:t>、</w:t>
      </w:r>
      <w:r>
        <w:rPr>
          <w:rFonts w:ascii="仿宋_GB2312" w:hAnsi="仿宋_GB2312"/>
          <w:color w:val="000000" w:themeColor="text1"/>
          <w14:textFill>
            <w14:solidFill>
              <w14:schemeClr w14:val="tx1"/>
            </w14:solidFill>
          </w14:textFill>
        </w:rPr>
        <w:t>标的名称：钢塑公寓椅</w:t>
      </w:r>
    </w:p>
    <w:tbl>
      <w:tblPr>
        <w:tblStyle w:val="8"/>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0"/>
        <w:gridCol w:w="1684"/>
        <w:gridCol w:w="7539"/>
      </w:tblGrid>
      <w:tr w14:paraId="2165C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700" w:type="dxa"/>
            <w:tcBorders>
              <w:top w:val="single" w:color="auto" w:sz="2" w:space="0"/>
              <w:left w:val="single" w:color="auto" w:sz="2" w:space="0"/>
              <w:bottom w:val="single" w:color="auto" w:sz="2" w:space="0"/>
              <w:right w:val="single" w:color="auto" w:sz="2" w:space="0"/>
            </w:tcBorders>
            <w:vAlign w:val="center"/>
          </w:tcPr>
          <w:p w14:paraId="69D5005E">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序号</w:t>
            </w:r>
          </w:p>
        </w:tc>
        <w:tc>
          <w:tcPr>
            <w:tcW w:w="1684" w:type="dxa"/>
            <w:tcBorders>
              <w:top w:val="single" w:color="auto" w:sz="2" w:space="0"/>
              <w:left w:val="single" w:color="auto" w:sz="2" w:space="0"/>
              <w:bottom w:val="single" w:color="auto" w:sz="2" w:space="0"/>
              <w:right w:val="single" w:color="auto" w:sz="2" w:space="0"/>
            </w:tcBorders>
            <w:vAlign w:val="center"/>
          </w:tcPr>
          <w:p w14:paraId="43B66144">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技术要求名称</w:t>
            </w:r>
          </w:p>
        </w:tc>
        <w:tc>
          <w:tcPr>
            <w:tcW w:w="7539" w:type="dxa"/>
            <w:tcBorders>
              <w:top w:val="single" w:color="auto" w:sz="2" w:space="0"/>
              <w:left w:val="single" w:color="auto" w:sz="2" w:space="0"/>
              <w:bottom w:val="single" w:color="auto" w:sz="2" w:space="0"/>
              <w:right w:val="single" w:color="auto" w:sz="2" w:space="0"/>
            </w:tcBorders>
            <w:vAlign w:val="center"/>
          </w:tcPr>
          <w:p w14:paraId="6AC5EDD2">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技术参数与性能指标</w:t>
            </w:r>
          </w:p>
        </w:tc>
      </w:tr>
      <w:tr w14:paraId="638CD7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0" w:type="dxa"/>
            <w:tcBorders>
              <w:top w:val="single" w:color="auto" w:sz="2" w:space="0"/>
              <w:left w:val="single" w:color="auto" w:sz="2" w:space="0"/>
              <w:bottom w:val="single" w:color="auto" w:sz="2" w:space="0"/>
              <w:right w:val="single" w:color="auto" w:sz="2" w:space="0"/>
            </w:tcBorders>
            <w:vAlign w:val="center"/>
          </w:tcPr>
          <w:p w14:paraId="5CE658CA">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w:t>
            </w:r>
          </w:p>
        </w:tc>
        <w:tc>
          <w:tcPr>
            <w:tcW w:w="1684" w:type="dxa"/>
            <w:tcBorders>
              <w:top w:val="single" w:color="auto" w:sz="2" w:space="0"/>
              <w:left w:val="single" w:color="auto" w:sz="2" w:space="0"/>
              <w:bottom w:val="single" w:color="auto" w:sz="2" w:space="0"/>
              <w:right w:val="single" w:color="auto" w:sz="2" w:space="0"/>
            </w:tcBorders>
            <w:vAlign w:val="center"/>
          </w:tcPr>
          <w:p w14:paraId="1E4B57C9">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钢塑公寓椅</w:t>
            </w:r>
          </w:p>
        </w:tc>
        <w:tc>
          <w:tcPr>
            <w:tcW w:w="7539" w:type="dxa"/>
            <w:tcBorders>
              <w:top w:val="single" w:color="auto" w:sz="2" w:space="0"/>
              <w:left w:val="single" w:color="auto" w:sz="2" w:space="0"/>
              <w:bottom w:val="single" w:color="auto" w:sz="2" w:space="0"/>
              <w:right w:val="single" w:color="auto" w:sz="2" w:space="0"/>
            </w:tcBorders>
          </w:tcPr>
          <w:p w14:paraId="3918304B">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1.规格要求：</w:t>
            </w:r>
            <w:r>
              <w:rPr>
                <w:rFonts w:hint="eastAsia" w:ascii="仿宋" w:hAnsi="仿宋" w:eastAsia="仿宋" w:cs="仿宋"/>
                <w:color w:val="000000" w:themeColor="text1"/>
                <w14:textFill>
                  <w14:solidFill>
                    <w14:schemeClr w14:val="tx1"/>
                  </w14:solidFill>
                </w14:textFill>
              </w:rPr>
              <w:t>深550mm×宽510mm×高850mm（偏差±20mm）。</w:t>
            </w:r>
          </w:p>
          <w:p w14:paraId="383EF389">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2.椅座背面基本要求</w:t>
            </w:r>
          </w:p>
          <w:p w14:paraId="13DFEA2F">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2.1椅座背面采用PP+玻纤材质一体成型（外观样式不做要求）；</w:t>
            </w:r>
          </w:p>
          <w:p w14:paraId="498D2663">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规格要求：椅背宽、座宽≥430mm,椅背与椅座连处流线型收窄至宽≤355mm,椅座深≥480mm，椅背高≥410mm,座背面壁厚≥6mm；功能要求：椅背镂空外凸顶腰宽160mm至300mm之间，镂空顶腰凸出≥60mm，椅背设置多个透气孔，透气孔四周无毛刺；安全要求：椅座背面四周弧形无尖角。</w:t>
            </w:r>
          </w:p>
          <w:p w14:paraId="4F39F34D">
            <w:pPr>
              <w:pStyle w:val="11"/>
              <w:ind w:firstLine="241"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3.椅架要求</w:t>
            </w:r>
          </w:p>
          <w:p w14:paraId="6ADEAE94">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3.1椅架立柱直径≥9mm实心圆钢、辅料≥6mm冷轧钢板套用成型，配静音脚垫，脚垫采用螺栓固定稳固不脱落，椅座面椅架螺栓固定面安装弹簧垫固定更稳固。</w:t>
            </w:r>
          </w:p>
        </w:tc>
      </w:tr>
      <w:tr w14:paraId="4B1DBC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39" w:hRule="atLeast"/>
          <w:jc w:val="center"/>
        </w:trPr>
        <w:tc>
          <w:tcPr>
            <w:tcW w:w="700" w:type="dxa"/>
            <w:tcBorders>
              <w:top w:val="single" w:color="auto" w:sz="2" w:space="0"/>
              <w:left w:val="single" w:color="auto" w:sz="2" w:space="0"/>
              <w:bottom w:val="single" w:color="auto" w:sz="2" w:space="0"/>
              <w:right w:val="single" w:color="auto" w:sz="2" w:space="0"/>
            </w:tcBorders>
            <w:vAlign w:val="center"/>
          </w:tcPr>
          <w:p w14:paraId="16B28A02">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2</w:t>
            </w:r>
          </w:p>
        </w:tc>
        <w:tc>
          <w:tcPr>
            <w:tcW w:w="1684" w:type="dxa"/>
            <w:tcBorders>
              <w:top w:val="single" w:color="auto" w:sz="2" w:space="0"/>
              <w:left w:val="single" w:color="auto" w:sz="2" w:space="0"/>
              <w:bottom w:val="single" w:color="auto" w:sz="2" w:space="0"/>
              <w:right w:val="single" w:color="auto" w:sz="2" w:space="0"/>
            </w:tcBorders>
            <w:vAlign w:val="center"/>
          </w:tcPr>
          <w:p w14:paraId="5A476825">
            <w:pPr>
              <w:pStyle w:val="11"/>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产品材料、部件要求</w:t>
            </w:r>
          </w:p>
        </w:tc>
        <w:tc>
          <w:tcPr>
            <w:tcW w:w="7539" w:type="dxa"/>
            <w:tcBorders>
              <w:top w:val="single" w:color="auto" w:sz="2" w:space="0"/>
              <w:left w:val="single" w:color="auto" w:sz="2" w:space="0"/>
              <w:bottom w:val="single" w:color="auto" w:sz="2" w:space="0"/>
              <w:right w:val="single" w:color="auto" w:sz="2" w:space="0"/>
            </w:tcBorders>
            <w:vAlign w:val="center"/>
          </w:tcPr>
          <w:p w14:paraId="0EAC896E">
            <w:pPr>
              <w:pStyle w:val="11"/>
              <w:ind w:firstLine="240" w:firstLineChars="100"/>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▲1、PP+玻纤材质椅座：包括但不限于符合GB/T 32487-2016塑料家具通用技术条件的规定，即：塑料材料理化性能耐老化性室内用≥500h,冲击强度的保持率≥60%，外观颜色变色评级≥3级，冲击强度≥10J/㎡；塑料件外观检测合格；塑料件耐冷热循环检测合格，硬度检测邵氏D硬度≥HD63。</w:t>
            </w:r>
          </w:p>
          <w:p w14:paraId="778113E7">
            <w:pPr>
              <w:pStyle w:val="11"/>
              <w:ind w:firstLine="240" w:firstLineChars="100"/>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 钢塑公寓椅：包括但不限于符合GB 18584—2024《家具中有害物质限量》之规定，即：甲醛、苯、甲苯、二甲苯和TVOC的释放限量要求（甲醛≤0.08mg/m³，苯≤0.06 mg/m³，甲苯≤0.15 mg/m³，二甲苯（邻、间、对二甲苯之和）≤0.20mg/m³，总挥发性有机化合物（TVOC）≤0.50mg/m³）；家具中可迁移有害元素限量要求（锑≤60mg/kg，砷≤25mg/kg，钡≤1000mg/kg，镉≤75mg/kg，铬≤60mg/kg，铅≤90mg/kg，汞≤60mg/kg，硒≤500mg/kg）。邻苯二甲酸酯总量≤0.1%，多环芳烃笨并[a] 芘≤1.0mg/kg，18种多环芳烃（PAH）总量≤10mg/kg。</w:t>
            </w:r>
          </w:p>
        </w:tc>
      </w:tr>
    </w:tbl>
    <w:p w14:paraId="5D7A33C1">
      <w:pPr>
        <w:spacing w:line="400" w:lineRule="exact"/>
        <w:rPr>
          <w:rFonts w:ascii="黑体" w:hAnsi="黑体" w:eastAsia="黑体" w:cs="黑体"/>
          <w:color w:val="000000" w:themeColor="text1"/>
          <w:sz w:val="28"/>
          <w:szCs w:val="28"/>
          <w14:textFill>
            <w14:solidFill>
              <w14:schemeClr w14:val="tx1"/>
            </w14:solidFill>
          </w14:textFill>
        </w:rPr>
      </w:pPr>
    </w:p>
    <w:p w14:paraId="2641CB18">
      <w:pPr>
        <w:spacing w:line="400" w:lineRule="exac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五、商务要求</w:t>
      </w:r>
    </w:p>
    <w:tbl>
      <w:tblPr>
        <w:tblStyle w:val="8"/>
        <w:tblW w:w="988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832"/>
        <w:gridCol w:w="1515"/>
        <w:gridCol w:w="7080"/>
      </w:tblGrid>
      <w:tr w14:paraId="067F6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01EDC823">
            <w:pPr>
              <w:pStyle w:val="11"/>
              <w:jc w:val="center"/>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序号</w:t>
            </w:r>
          </w:p>
        </w:tc>
        <w:tc>
          <w:tcPr>
            <w:tcW w:w="832" w:type="dxa"/>
          </w:tcPr>
          <w:p w14:paraId="49024D7C">
            <w:pPr>
              <w:pStyle w:val="11"/>
              <w:jc w:val="center"/>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符号标识</w:t>
            </w:r>
          </w:p>
        </w:tc>
        <w:tc>
          <w:tcPr>
            <w:tcW w:w="1515" w:type="dxa"/>
          </w:tcPr>
          <w:p w14:paraId="66F97EE4">
            <w:pPr>
              <w:pStyle w:val="11"/>
              <w:jc w:val="center"/>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商务要求名称</w:t>
            </w:r>
          </w:p>
        </w:tc>
        <w:tc>
          <w:tcPr>
            <w:tcW w:w="7080" w:type="dxa"/>
          </w:tcPr>
          <w:p w14:paraId="2066166F">
            <w:pPr>
              <w:pStyle w:val="11"/>
              <w:jc w:val="center"/>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商务要求内容</w:t>
            </w:r>
          </w:p>
        </w:tc>
      </w:tr>
      <w:tr w14:paraId="006AD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6B6BF701">
            <w:pPr>
              <w:pStyle w:val="11"/>
              <w:jc w:val="center"/>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w:t>
            </w:r>
          </w:p>
        </w:tc>
        <w:tc>
          <w:tcPr>
            <w:tcW w:w="832" w:type="dxa"/>
          </w:tcPr>
          <w:p w14:paraId="0AFB9B02">
            <w:pPr>
              <w:pStyle w:val="11"/>
              <w:jc w:val="center"/>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515" w:type="dxa"/>
          </w:tcPr>
          <w:p w14:paraId="6A5012C3">
            <w:pPr>
              <w:pStyle w:val="11"/>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交货时间</w:t>
            </w:r>
          </w:p>
        </w:tc>
        <w:tc>
          <w:tcPr>
            <w:tcW w:w="7080" w:type="dxa"/>
          </w:tcPr>
          <w:p w14:paraId="12EB8E4D">
            <w:pPr>
              <w:pStyle w:val="11"/>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合同签订之后，在20</w:t>
            </w:r>
            <w:r>
              <w:rPr>
                <w:rFonts w:hint="eastAsia" w:ascii="仿宋_GB2312" w:hAnsi="仿宋_GB2312" w:eastAsia="仿宋_GB2312" w:cs="仿宋_GB2312"/>
                <w:color w:val="000000" w:themeColor="text1"/>
                <w14:textFill>
                  <w14:solidFill>
                    <w14:schemeClr w14:val="tx1"/>
                  </w14:solidFill>
                </w14:textFill>
              </w:rPr>
              <w:t>26</w:t>
            </w:r>
            <w:r>
              <w:rPr>
                <w:rFonts w:ascii="仿宋_GB2312" w:hAnsi="仿宋_GB2312" w:eastAsia="仿宋_GB2312" w:cs="仿宋_GB2312"/>
                <w:color w:val="000000" w:themeColor="text1"/>
                <w14:textFill>
                  <w14:solidFill>
                    <w14:schemeClr w14:val="tx1"/>
                  </w14:solidFill>
                </w14:textFill>
              </w:rPr>
              <w:t>年</w:t>
            </w:r>
            <w:r>
              <w:rPr>
                <w:rFonts w:hint="eastAsia" w:ascii="仿宋_GB2312" w:hAnsi="仿宋_GB2312" w:eastAsia="仿宋_GB2312" w:cs="仿宋_GB2312"/>
                <w:color w:val="000000" w:themeColor="text1"/>
                <w14:textFill>
                  <w14:solidFill>
                    <w14:schemeClr w14:val="tx1"/>
                  </w14:solidFill>
                </w14:textFill>
              </w:rPr>
              <w:t>8</w:t>
            </w:r>
            <w:r>
              <w:rPr>
                <w:rFonts w:ascii="仿宋_GB2312" w:hAnsi="仿宋_GB2312" w:eastAsia="仿宋_GB2312" w:cs="仿宋_GB2312"/>
                <w:color w:val="000000" w:themeColor="text1"/>
                <w14:textFill>
                  <w14:solidFill>
                    <w14:schemeClr w14:val="tx1"/>
                  </w14:solidFill>
                </w14:textFill>
              </w:rPr>
              <w:t>月</w:t>
            </w:r>
            <w:r>
              <w:rPr>
                <w:rFonts w:hint="eastAsia" w:ascii="仿宋_GB2312" w:hAnsi="仿宋_GB2312" w:eastAsia="仿宋_GB2312" w:cs="仿宋_GB2312"/>
                <w:color w:val="000000" w:themeColor="text1"/>
                <w14:textFill>
                  <w14:solidFill>
                    <w14:schemeClr w14:val="tx1"/>
                  </w14:solidFill>
                </w14:textFill>
              </w:rPr>
              <w:t>25</w:t>
            </w:r>
            <w:r>
              <w:rPr>
                <w:rFonts w:ascii="仿宋_GB2312" w:hAnsi="仿宋_GB2312" w:eastAsia="仿宋_GB2312" w:cs="仿宋_GB2312"/>
                <w:color w:val="000000" w:themeColor="text1"/>
                <w14:textFill>
                  <w14:solidFill>
                    <w14:schemeClr w14:val="tx1"/>
                  </w14:solidFill>
                </w14:textFill>
              </w:rPr>
              <w:t>日前完成安装或按合同约定其他期限完成安装。</w:t>
            </w:r>
          </w:p>
        </w:tc>
      </w:tr>
      <w:tr w14:paraId="4E814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1D098909">
            <w:pPr>
              <w:pStyle w:val="11"/>
              <w:jc w:val="center"/>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w:t>
            </w:r>
          </w:p>
        </w:tc>
        <w:tc>
          <w:tcPr>
            <w:tcW w:w="832" w:type="dxa"/>
          </w:tcPr>
          <w:p w14:paraId="56E30EB1">
            <w:pPr>
              <w:pStyle w:val="11"/>
              <w:jc w:val="center"/>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515" w:type="dxa"/>
          </w:tcPr>
          <w:p w14:paraId="774D7189">
            <w:pPr>
              <w:pStyle w:val="11"/>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交货地点</w:t>
            </w:r>
          </w:p>
        </w:tc>
        <w:tc>
          <w:tcPr>
            <w:tcW w:w="7080" w:type="dxa"/>
          </w:tcPr>
          <w:p w14:paraId="6EC879C3">
            <w:pPr>
              <w:pStyle w:val="11"/>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西华大学郫都校区</w:t>
            </w:r>
          </w:p>
        </w:tc>
      </w:tr>
      <w:tr w14:paraId="6822B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6841402C">
            <w:pPr>
              <w:pStyle w:val="11"/>
              <w:jc w:val="center"/>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w:t>
            </w:r>
          </w:p>
        </w:tc>
        <w:tc>
          <w:tcPr>
            <w:tcW w:w="832" w:type="dxa"/>
          </w:tcPr>
          <w:p w14:paraId="0E383A65">
            <w:pPr>
              <w:pStyle w:val="11"/>
              <w:jc w:val="center"/>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515" w:type="dxa"/>
          </w:tcPr>
          <w:p w14:paraId="5D1BD1F1">
            <w:pPr>
              <w:pStyle w:val="11"/>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支付方式</w:t>
            </w:r>
          </w:p>
        </w:tc>
        <w:tc>
          <w:tcPr>
            <w:tcW w:w="7080" w:type="dxa"/>
          </w:tcPr>
          <w:p w14:paraId="4E542402">
            <w:pPr>
              <w:pStyle w:val="11"/>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分期付款</w:t>
            </w:r>
          </w:p>
        </w:tc>
      </w:tr>
      <w:tr w14:paraId="2E452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57A6EBF8">
            <w:pPr>
              <w:pStyle w:val="11"/>
              <w:jc w:val="center"/>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w:t>
            </w:r>
          </w:p>
        </w:tc>
        <w:tc>
          <w:tcPr>
            <w:tcW w:w="832" w:type="dxa"/>
          </w:tcPr>
          <w:p w14:paraId="3CC7CE74">
            <w:pPr>
              <w:pStyle w:val="11"/>
              <w:jc w:val="center"/>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515" w:type="dxa"/>
          </w:tcPr>
          <w:p w14:paraId="1FAA371C">
            <w:pPr>
              <w:pStyle w:val="11"/>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付款进度安排</w:t>
            </w:r>
          </w:p>
        </w:tc>
        <w:tc>
          <w:tcPr>
            <w:tcW w:w="7080" w:type="dxa"/>
          </w:tcPr>
          <w:p w14:paraId="16974F5B">
            <w:pPr>
              <w:pStyle w:val="11"/>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1、第一次付款，合同签订及生效后，达到付款条件起20日内，支付合同总金额的20.00%</w:t>
            </w:r>
          </w:p>
          <w:p w14:paraId="78A8B4F1">
            <w:pPr>
              <w:pStyle w:val="11"/>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2、第二次付款，中标人按照合同交付并完成安装调试，且验收合格后，且采购人收到中标人出具的合法有效的合同总金额增值税专用发票及凭证资料后，达到付款条件起20日内，支付合同总金额的80.00%</w:t>
            </w:r>
          </w:p>
        </w:tc>
      </w:tr>
      <w:tr w14:paraId="7DFF2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20" w:hRule="atLeast"/>
          <w:jc w:val="center"/>
        </w:trPr>
        <w:tc>
          <w:tcPr>
            <w:tcW w:w="456" w:type="dxa"/>
          </w:tcPr>
          <w:p w14:paraId="744C6F29">
            <w:pPr>
              <w:pStyle w:val="11"/>
              <w:jc w:val="center"/>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w:t>
            </w:r>
          </w:p>
        </w:tc>
        <w:tc>
          <w:tcPr>
            <w:tcW w:w="832" w:type="dxa"/>
          </w:tcPr>
          <w:p w14:paraId="5D012200">
            <w:pPr>
              <w:pStyle w:val="11"/>
              <w:jc w:val="center"/>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515" w:type="dxa"/>
          </w:tcPr>
          <w:p w14:paraId="62FF858E">
            <w:pPr>
              <w:pStyle w:val="11"/>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验收、交付标准和方法</w:t>
            </w:r>
          </w:p>
        </w:tc>
        <w:tc>
          <w:tcPr>
            <w:tcW w:w="7080" w:type="dxa"/>
          </w:tcPr>
          <w:p w14:paraId="12A92089">
            <w:pPr>
              <w:pStyle w:val="11"/>
              <w:numPr>
                <w:ilvl w:val="0"/>
                <w:numId w:val="2"/>
              </w:numP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本项目履约验收主体为西华大学。 </w:t>
            </w:r>
          </w:p>
          <w:p w14:paraId="47E57DEB">
            <w:pPr>
              <w:pStyle w:val="11"/>
              <w:numPr>
                <w:ilvl w:val="0"/>
                <w:numId w:val="2"/>
              </w:numP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履约验收时间为供应商提出验收申请之日起10日内组织验收。验收方式为自行组织验收，履约验收内容为招标文件的技术和商务要求、投标文件的响应和承诺、合同约定内容。</w:t>
            </w:r>
          </w:p>
          <w:p w14:paraId="73D09E23">
            <w:pPr>
              <w:pStyle w:val="11"/>
              <w:numPr>
                <w:ilvl w:val="0"/>
                <w:numId w:val="2"/>
              </w:numP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验收程序为一次性验收，具体为：货物安装完成后由采购人组织验收，中标人配合验收并提供本次采购货物的二人位公寓床（柜梯）二人位公寓床（</w:t>
            </w:r>
            <w:r>
              <w:rPr>
                <w:rFonts w:hint="eastAsia" w:ascii="仿宋_GB2312" w:hAnsi="仿宋_GB2312" w:eastAsia="仿宋_GB2312" w:cs="仿宋_GB2312"/>
                <w:color w:val="000000" w:themeColor="text1"/>
                <w14:textFill>
                  <w14:solidFill>
                    <w14:schemeClr w14:val="tx1"/>
                  </w14:solidFill>
                </w14:textFill>
              </w:rPr>
              <w:t>挂</w:t>
            </w:r>
            <w:r>
              <w:rPr>
                <w:rFonts w:ascii="仿宋_GB2312" w:hAnsi="仿宋_GB2312" w:eastAsia="仿宋_GB2312" w:cs="仿宋_GB2312"/>
                <w:color w:val="000000" w:themeColor="text1"/>
                <w14:textFill>
                  <w14:solidFill>
                    <w14:schemeClr w14:val="tx1"/>
                  </w14:solidFill>
                </w14:textFill>
              </w:rPr>
              <w:t>梯）、钢塑公寓椅带有CMA标志第三方检测报告。货物验收合格后签署质量验收报告，如验收不合格签署备忘录，在中标人完成整改或更换后再次组织验收。</w:t>
            </w:r>
          </w:p>
          <w:p w14:paraId="3CA6855B">
            <w:pPr>
              <w:pStyle w:val="11"/>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4.履约验收标准：采购人严格按照《财政部关于进一步加强政府采购需求和履约验收管理的指导意见》（财库〔2016〕205 号）及四川省财政厅相关文件的要求及国家现行的有关法律法规进行验收。验收内容中的技术和商务要求的履约情况，以招标投标文件及合同约定中的技术要求和商务要求为标准。</w:t>
            </w:r>
          </w:p>
        </w:tc>
      </w:tr>
      <w:tr w14:paraId="634D9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3A541381">
            <w:pPr>
              <w:pStyle w:val="11"/>
              <w:jc w:val="center"/>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w:t>
            </w:r>
          </w:p>
        </w:tc>
        <w:tc>
          <w:tcPr>
            <w:tcW w:w="832" w:type="dxa"/>
          </w:tcPr>
          <w:p w14:paraId="3DB98E54">
            <w:pPr>
              <w:pStyle w:val="11"/>
              <w:jc w:val="center"/>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515" w:type="dxa"/>
          </w:tcPr>
          <w:p w14:paraId="63C5C19B">
            <w:pPr>
              <w:pStyle w:val="11"/>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质量保修范围和保修期</w:t>
            </w:r>
          </w:p>
        </w:tc>
        <w:tc>
          <w:tcPr>
            <w:tcW w:w="7080" w:type="dxa"/>
          </w:tcPr>
          <w:p w14:paraId="237DB407">
            <w:pPr>
              <w:pStyle w:val="11"/>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本项目货物质保期10年，终身保修。质保期起始日为货物安装调试完毕验收合格之日起。质保期内在接到采购人通知后8小时内到达现场，24小时内完成维修更换并承担所有费用。</w:t>
            </w:r>
          </w:p>
        </w:tc>
      </w:tr>
      <w:tr w14:paraId="19AB7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1E2DCB8F">
            <w:pPr>
              <w:pStyle w:val="11"/>
              <w:jc w:val="center"/>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w:t>
            </w:r>
          </w:p>
        </w:tc>
        <w:tc>
          <w:tcPr>
            <w:tcW w:w="832" w:type="dxa"/>
          </w:tcPr>
          <w:p w14:paraId="5B1331C4">
            <w:pPr>
              <w:pStyle w:val="11"/>
              <w:jc w:val="center"/>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515" w:type="dxa"/>
          </w:tcPr>
          <w:p w14:paraId="6E02DBA6">
            <w:pPr>
              <w:pStyle w:val="11"/>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违约责任与解决争议的方法</w:t>
            </w:r>
          </w:p>
        </w:tc>
        <w:tc>
          <w:tcPr>
            <w:tcW w:w="7080" w:type="dxa"/>
          </w:tcPr>
          <w:p w14:paraId="7A5ADE77">
            <w:pPr>
              <w:pStyle w:val="11"/>
              <w:rPr>
                <w:rFonts w:eastAsia="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按合同执行</w:t>
            </w:r>
            <w:r>
              <w:rPr>
                <w:rFonts w:hint="eastAsia" w:ascii="仿宋_GB2312" w:hAnsi="仿宋_GB2312" w:eastAsia="仿宋_GB2312" w:cs="仿宋_GB2312"/>
                <w:color w:val="000000" w:themeColor="text1"/>
                <w14:textFill>
                  <w14:solidFill>
                    <w14:schemeClr w14:val="tx1"/>
                  </w14:solidFill>
                </w14:textFill>
              </w:rPr>
              <w:t>。</w:t>
            </w:r>
          </w:p>
        </w:tc>
      </w:tr>
      <w:tr w14:paraId="03030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5A8F0C7C">
            <w:pPr>
              <w:pStyle w:val="11"/>
              <w:jc w:val="center"/>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8</w:t>
            </w:r>
          </w:p>
        </w:tc>
        <w:tc>
          <w:tcPr>
            <w:tcW w:w="832" w:type="dxa"/>
          </w:tcPr>
          <w:p w14:paraId="18B5B6F0">
            <w:pPr>
              <w:pStyle w:val="11"/>
              <w:jc w:val="center"/>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515" w:type="dxa"/>
          </w:tcPr>
          <w:p w14:paraId="623E59CE">
            <w:pPr>
              <w:pStyle w:val="11"/>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包装方式及运输</w:t>
            </w:r>
          </w:p>
        </w:tc>
        <w:tc>
          <w:tcPr>
            <w:tcW w:w="7080" w:type="dxa"/>
          </w:tcPr>
          <w:p w14:paraId="306D6D64">
            <w:pPr>
              <w:pStyle w:val="11"/>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r w14:paraId="4C1DD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39" w:hRule="atLeast"/>
          <w:jc w:val="center"/>
        </w:trPr>
        <w:tc>
          <w:tcPr>
            <w:tcW w:w="456" w:type="dxa"/>
          </w:tcPr>
          <w:p w14:paraId="56551449">
            <w:pPr>
              <w:pStyle w:val="11"/>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9</w:t>
            </w:r>
          </w:p>
        </w:tc>
        <w:tc>
          <w:tcPr>
            <w:tcW w:w="832" w:type="dxa"/>
          </w:tcPr>
          <w:p w14:paraId="6E6847AD">
            <w:pPr>
              <w:pStyle w:val="11"/>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515" w:type="dxa"/>
          </w:tcPr>
          <w:p w14:paraId="3365A9C8">
            <w:pPr>
              <w:pStyle w:val="11"/>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旧床拆除搬运</w:t>
            </w:r>
          </w:p>
        </w:tc>
        <w:tc>
          <w:tcPr>
            <w:tcW w:w="7080" w:type="dxa"/>
          </w:tcPr>
          <w:p w14:paraId="07EE921B">
            <w:pPr>
              <w:pStyle w:val="11"/>
              <w:numPr>
                <w:ilvl w:val="0"/>
                <w:numId w:val="3"/>
              </w:num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根据学校要求，中标人在规定的时间内从西华大学郫都校区德馨苑、临江苑、锦地苑学生公寓拆除两人位公寓床（含椅凳）并搬迁至采购人指定地点，具体搬迁明细以现场踏勘为准；（预计拆除搬运的数量为包1：825间，包2：825间）</w:t>
            </w:r>
          </w:p>
          <w:p w14:paraId="2E564D33">
            <w:pPr>
              <w:pStyle w:val="11"/>
              <w:numPr>
                <w:ilvl w:val="0"/>
                <w:numId w:val="3"/>
              </w:num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熟悉环境，拆卸、搬运应在安全文明状态下作业，现场有专人负责调度、安全管理；</w:t>
            </w:r>
          </w:p>
          <w:p w14:paraId="36F58D3D">
            <w:pPr>
              <w:pStyle w:val="11"/>
              <w:numPr>
                <w:ilvl w:val="0"/>
                <w:numId w:val="3"/>
              </w:num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搬运至学校指定的区域（西华大学郫都校区校内），按学校要求整齐堆放；</w:t>
            </w:r>
          </w:p>
          <w:p w14:paraId="516525F5">
            <w:pPr>
              <w:pStyle w:val="11"/>
              <w:numPr>
                <w:ilvl w:val="0"/>
                <w:numId w:val="3"/>
              </w:num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拆卸、搬运、堆放时，注意家具保护，房屋及设施保护，若出现损坏情况由供应商全权负责；</w:t>
            </w:r>
          </w:p>
          <w:p w14:paraId="21631B4D">
            <w:pPr>
              <w:pStyle w:val="11"/>
              <w:numPr>
                <w:ilvl w:val="0"/>
                <w:numId w:val="3"/>
              </w:num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供应商应在正式履约前根据项目的实际情况制定项目的拆运方案、路线安排、实施方案、实施计划、应急处置方案等；</w:t>
            </w:r>
          </w:p>
          <w:p w14:paraId="05FB6BC8">
            <w:pPr>
              <w:pStyle w:val="11"/>
              <w:numPr>
                <w:ilvl w:val="0"/>
                <w:numId w:val="3"/>
              </w:num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因作业楼栋还有学生居住，作业时必须充分考虑作息、安全因素，保证相互不影响，女生楼栋须配备女性现场管理人员；</w:t>
            </w:r>
          </w:p>
          <w:p w14:paraId="5CCD111C">
            <w:pPr>
              <w:pStyle w:val="11"/>
              <w:numPr>
                <w:ilvl w:val="0"/>
                <w:numId w:val="3"/>
              </w:num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施工现场应设置明显的警示标志，避免产生意外伤害事故；</w:t>
            </w:r>
          </w:p>
          <w:p w14:paraId="238D08B2">
            <w:pPr>
              <w:pStyle w:val="11"/>
              <w:numPr>
                <w:ilvl w:val="0"/>
                <w:numId w:val="3"/>
              </w:num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施工人员应做好个人防护，遵守施工流程和安全规范，避免人员伤亡和设备损坏；</w:t>
            </w:r>
          </w:p>
          <w:p w14:paraId="2D0929FF">
            <w:pPr>
              <w:pStyle w:val="11"/>
              <w:numPr>
                <w:ilvl w:val="0"/>
                <w:numId w:val="3"/>
              </w:num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如有专用施工器械，对施工人员有特殊要求的，施工人员应按要求配置；</w:t>
            </w:r>
          </w:p>
          <w:p w14:paraId="6B4AABCF">
            <w:pPr>
              <w:pStyle w:val="11"/>
              <w:numPr>
                <w:ilvl w:val="0"/>
                <w:numId w:val="3"/>
              </w:num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旧家具拆除搬离后同时清除室内的垃圾；</w:t>
            </w:r>
          </w:p>
          <w:p w14:paraId="717021BD">
            <w:pPr>
              <w:pStyle w:val="11"/>
              <w:numPr>
                <w:ilvl w:val="0"/>
                <w:numId w:val="3"/>
              </w:num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服务期间因服务工作安全措施不当引起的任何责任事故由供应商承担全部责任。</w:t>
            </w:r>
          </w:p>
        </w:tc>
      </w:tr>
    </w:tbl>
    <w:p w14:paraId="1C66BCCF">
      <w:pPr>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w:t>
      </w:r>
    </w:p>
    <w:sectPr>
      <w:footerReference r:id="rId3" w:type="default"/>
      <w:pgSz w:w="11906" w:h="16838"/>
      <w:pgMar w:top="1134" w:right="1134" w:bottom="1134" w:left="113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2548929"/>
    </w:sdtPr>
    <w:sdtContent>
      <w:sdt>
        <w:sdtPr>
          <w:id w:val="1728636285"/>
        </w:sdtPr>
        <w:sdtContent>
          <w:p w14:paraId="1189BAB0">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- 12 -</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sdtContent>
      </w:sdt>
    </w:sdtContent>
  </w:sdt>
  <w:p w14:paraId="5C7656A6">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4CA41"/>
    <w:multiLevelType w:val="singleLevel"/>
    <w:tmpl w:val="03B4CA41"/>
    <w:lvl w:ilvl="0" w:tentative="0">
      <w:start w:val="1"/>
      <w:numFmt w:val="decimal"/>
      <w:lvlText w:val="%1."/>
      <w:lvlJc w:val="left"/>
      <w:pPr>
        <w:tabs>
          <w:tab w:val="left" w:pos="312"/>
        </w:tabs>
      </w:pPr>
    </w:lvl>
  </w:abstractNum>
  <w:abstractNum w:abstractNumId="1">
    <w:nsid w:val="169977D6"/>
    <w:multiLevelType w:val="singleLevel"/>
    <w:tmpl w:val="169977D6"/>
    <w:lvl w:ilvl="0" w:tentative="0">
      <w:start w:val="3"/>
      <w:numFmt w:val="chineseCounting"/>
      <w:suff w:val="nothing"/>
      <w:lvlText w:val="%1、"/>
      <w:lvlJc w:val="left"/>
      <w:rPr>
        <w:rFonts w:hint="eastAsia"/>
      </w:rPr>
    </w:lvl>
  </w:abstractNum>
  <w:abstractNum w:abstractNumId="2">
    <w:nsid w:val="3CB40F8D"/>
    <w:multiLevelType w:val="singleLevel"/>
    <w:tmpl w:val="3CB40F8D"/>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05E"/>
    <w:rsid w:val="00001C4F"/>
    <w:rsid w:val="00011460"/>
    <w:rsid w:val="0001610D"/>
    <w:rsid w:val="00034F49"/>
    <w:rsid w:val="0004700F"/>
    <w:rsid w:val="00063201"/>
    <w:rsid w:val="0006603D"/>
    <w:rsid w:val="00072309"/>
    <w:rsid w:val="00073C1F"/>
    <w:rsid w:val="00083FE6"/>
    <w:rsid w:val="000B1D42"/>
    <w:rsid w:val="000B22E5"/>
    <w:rsid w:val="000D07F4"/>
    <w:rsid w:val="000E2E5C"/>
    <w:rsid w:val="00111EAD"/>
    <w:rsid w:val="0011349E"/>
    <w:rsid w:val="00117D26"/>
    <w:rsid w:val="001250AD"/>
    <w:rsid w:val="00131C93"/>
    <w:rsid w:val="0015137D"/>
    <w:rsid w:val="00163B5D"/>
    <w:rsid w:val="001C03F2"/>
    <w:rsid w:val="001D1EF1"/>
    <w:rsid w:val="001E3065"/>
    <w:rsid w:val="0022478D"/>
    <w:rsid w:val="00251133"/>
    <w:rsid w:val="00257CAA"/>
    <w:rsid w:val="002C5CBA"/>
    <w:rsid w:val="002D5F7C"/>
    <w:rsid w:val="003018AA"/>
    <w:rsid w:val="003172E4"/>
    <w:rsid w:val="00324449"/>
    <w:rsid w:val="003351AD"/>
    <w:rsid w:val="003702A0"/>
    <w:rsid w:val="0038436A"/>
    <w:rsid w:val="00395C02"/>
    <w:rsid w:val="003A4399"/>
    <w:rsid w:val="003A51C0"/>
    <w:rsid w:val="003B3B8D"/>
    <w:rsid w:val="003C77D1"/>
    <w:rsid w:val="003D13FC"/>
    <w:rsid w:val="003D237D"/>
    <w:rsid w:val="003F4F06"/>
    <w:rsid w:val="003F6CE6"/>
    <w:rsid w:val="004150E5"/>
    <w:rsid w:val="004312CD"/>
    <w:rsid w:val="00441750"/>
    <w:rsid w:val="0044611A"/>
    <w:rsid w:val="004544C6"/>
    <w:rsid w:val="00477C92"/>
    <w:rsid w:val="00500847"/>
    <w:rsid w:val="005022D1"/>
    <w:rsid w:val="00504CEA"/>
    <w:rsid w:val="005078E3"/>
    <w:rsid w:val="00521AB0"/>
    <w:rsid w:val="00526AE1"/>
    <w:rsid w:val="00532CBD"/>
    <w:rsid w:val="00534234"/>
    <w:rsid w:val="0053699E"/>
    <w:rsid w:val="0054008D"/>
    <w:rsid w:val="005616D5"/>
    <w:rsid w:val="0057058E"/>
    <w:rsid w:val="005A0C97"/>
    <w:rsid w:val="005A3C0A"/>
    <w:rsid w:val="005C7100"/>
    <w:rsid w:val="005F339C"/>
    <w:rsid w:val="00615CBE"/>
    <w:rsid w:val="0062731F"/>
    <w:rsid w:val="00656089"/>
    <w:rsid w:val="0065610C"/>
    <w:rsid w:val="00672D38"/>
    <w:rsid w:val="0067434D"/>
    <w:rsid w:val="0067644D"/>
    <w:rsid w:val="006764B1"/>
    <w:rsid w:val="006A4037"/>
    <w:rsid w:val="006A4A5B"/>
    <w:rsid w:val="006B7AA4"/>
    <w:rsid w:val="006C5DF7"/>
    <w:rsid w:val="006C6AEF"/>
    <w:rsid w:val="006D074C"/>
    <w:rsid w:val="006E306B"/>
    <w:rsid w:val="006E744C"/>
    <w:rsid w:val="00700754"/>
    <w:rsid w:val="00706C78"/>
    <w:rsid w:val="00717237"/>
    <w:rsid w:val="007227DF"/>
    <w:rsid w:val="00726DF7"/>
    <w:rsid w:val="00744320"/>
    <w:rsid w:val="007749D0"/>
    <w:rsid w:val="007B1345"/>
    <w:rsid w:val="007B6269"/>
    <w:rsid w:val="007B6D5A"/>
    <w:rsid w:val="007B7DBF"/>
    <w:rsid w:val="007D305E"/>
    <w:rsid w:val="007E044C"/>
    <w:rsid w:val="007E253F"/>
    <w:rsid w:val="00800088"/>
    <w:rsid w:val="0080642B"/>
    <w:rsid w:val="00812F9B"/>
    <w:rsid w:val="008237DC"/>
    <w:rsid w:val="0083423C"/>
    <w:rsid w:val="008731EC"/>
    <w:rsid w:val="008873DB"/>
    <w:rsid w:val="008B1917"/>
    <w:rsid w:val="008C6539"/>
    <w:rsid w:val="008D0E08"/>
    <w:rsid w:val="008E4C60"/>
    <w:rsid w:val="008E6B37"/>
    <w:rsid w:val="00905D13"/>
    <w:rsid w:val="00910008"/>
    <w:rsid w:val="00970F17"/>
    <w:rsid w:val="009770E0"/>
    <w:rsid w:val="009A1B8F"/>
    <w:rsid w:val="009A28C0"/>
    <w:rsid w:val="009B39A3"/>
    <w:rsid w:val="009C70A5"/>
    <w:rsid w:val="009D2947"/>
    <w:rsid w:val="009D3F15"/>
    <w:rsid w:val="009E4EF7"/>
    <w:rsid w:val="009E53E5"/>
    <w:rsid w:val="009F26C2"/>
    <w:rsid w:val="009F457A"/>
    <w:rsid w:val="00A16C4E"/>
    <w:rsid w:val="00A17E59"/>
    <w:rsid w:val="00A213B7"/>
    <w:rsid w:val="00A26D7B"/>
    <w:rsid w:val="00A3089A"/>
    <w:rsid w:val="00A33AE3"/>
    <w:rsid w:val="00A65A0D"/>
    <w:rsid w:val="00A7359C"/>
    <w:rsid w:val="00A92327"/>
    <w:rsid w:val="00AA564E"/>
    <w:rsid w:val="00AD1BB3"/>
    <w:rsid w:val="00AE0090"/>
    <w:rsid w:val="00AF094E"/>
    <w:rsid w:val="00AF4C3B"/>
    <w:rsid w:val="00B21220"/>
    <w:rsid w:val="00B3373A"/>
    <w:rsid w:val="00B6366C"/>
    <w:rsid w:val="00B77750"/>
    <w:rsid w:val="00B86117"/>
    <w:rsid w:val="00BC0F1C"/>
    <w:rsid w:val="00BC473E"/>
    <w:rsid w:val="00BC6507"/>
    <w:rsid w:val="00BC6EFB"/>
    <w:rsid w:val="00BC761A"/>
    <w:rsid w:val="00BD4F35"/>
    <w:rsid w:val="00BD5B2F"/>
    <w:rsid w:val="00BD7ADC"/>
    <w:rsid w:val="00BD7E00"/>
    <w:rsid w:val="00BE6C4E"/>
    <w:rsid w:val="00C011A1"/>
    <w:rsid w:val="00C13F10"/>
    <w:rsid w:val="00C15175"/>
    <w:rsid w:val="00C32C6F"/>
    <w:rsid w:val="00C36E17"/>
    <w:rsid w:val="00C41CDC"/>
    <w:rsid w:val="00C426C0"/>
    <w:rsid w:val="00C431C2"/>
    <w:rsid w:val="00C43862"/>
    <w:rsid w:val="00C7273A"/>
    <w:rsid w:val="00C831AA"/>
    <w:rsid w:val="00C86808"/>
    <w:rsid w:val="00C8682D"/>
    <w:rsid w:val="00CB4991"/>
    <w:rsid w:val="00CC3D7B"/>
    <w:rsid w:val="00CD5DCA"/>
    <w:rsid w:val="00CE73E9"/>
    <w:rsid w:val="00CF0AA3"/>
    <w:rsid w:val="00D0289C"/>
    <w:rsid w:val="00D06F18"/>
    <w:rsid w:val="00D14B10"/>
    <w:rsid w:val="00D21632"/>
    <w:rsid w:val="00D46E98"/>
    <w:rsid w:val="00D80AAF"/>
    <w:rsid w:val="00D92BF4"/>
    <w:rsid w:val="00DA469C"/>
    <w:rsid w:val="00DB3666"/>
    <w:rsid w:val="00DB3A21"/>
    <w:rsid w:val="00DB4162"/>
    <w:rsid w:val="00DB7F9F"/>
    <w:rsid w:val="00DC2390"/>
    <w:rsid w:val="00DC2ECA"/>
    <w:rsid w:val="00DC49FB"/>
    <w:rsid w:val="00DD2E06"/>
    <w:rsid w:val="00DF5B5F"/>
    <w:rsid w:val="00E16059"/>
    <w:rsid w:val="00E16091"/>
    <w:rsid w:val="00E1755F"/>
    <w:rsid w:val="00E33F50"/>
    <w:rsid w:val="00EA0003"/>
    <w:rsid w:val="00EB221A"/>
    <w:rsid w:val="00EC2F9B"/>
    <w:rsid w:val="00ED6DC2"/>
    <w:rsid w:val="00EE05EC"/>
    <w:rsid w:val="00EE0701"/>
    <w:rsid w:val="00EE65E9"/>
    <w:rsid w:val="00F05F4F"/>
    <w:rsid w:val="00F0691C"/>
    <w:rsid w:val="00F61B0D"/>
    <w:rsid w:val="00F66D4A"/>
    <w:rsid w:val="00F70D7D"/>
    <w:rsid w:val="00F718A1"/>
    <w:rsid w:val="00F80E75"/>
    <w:rsid w:val="00F816B7"/>
    <w:rsid w:val="00F8172D"/>
    <w:rsid w:val="00FA1CFE"/>
    <w:rsid w:val="00FB193E"/>
    <w:rsid w:val="00FB77A0"/>
    <w:rsid w:val="00FC768A"/>
    <w:rsid w:val="00FC798D"/>
    <w:rsid w:val="00FD2CEA"/>
    <w:rsid w:val="00FF2A85"/>
    <w:rsid w:val="00FF5510"/>
    <w:rsid w:val="00FF7888"/>
    <w:rsid w:val="019C1EEA"/>
    <w:rsid w:val="02382796"/>
    <w:rsid w:val="02963E04"/>
    <w:rsid w:val="031C6859"/>
    <w:rsid w:val="06C51FB1"/>
    <w:rsid w:val="07292CB6"/>
    <w:rsid w:val="073C336C"/>
    <w:rsid w:val="08974827"/>
    <w:rsid w:val="08CA2DC3"/>
    <w:rsid w:val="0AA25A34"/>
    <w:rsid w:val="12301B77"/>
    <w:rsid w:val="12C66037"/>
    <w:rsid w:val="1347557B"/>
    <w:rsid w:val="170B1110"/>
    <w:rsid w:val="196C30BD"/>
    <w:rsid w:val="1BB01D2F"/>
    <w:rsid w:val="1BB848AC"/>
    <w:rsid w:val="1EEA2324"/>
    <w:rsid w:val="1FBC2855"/>
    <w:rsid w:val="208261B0"/>
    <w:rsid w:val="229323DA"/>
    <w:rsid w:val="26332C7B"/>
    <w:rsid w:val="26A60202"/>
    <w:rsid w:val="273F48DE"/>
    <w:rsid w:val="27457A1B"/>
    <w:rsid w:val="27EC60E8"/>
    <w:rsid w:val="28B958C8"/>
    <w:rsid w:val="28C05912"/>
    <w:rsid w:val="2A9A62D0"/>
    <w:rsid w:val="2CAB47C4"/>
    <w:rsid w:val="2DBA6A66"/>
    <w:rsid w:val="351D3D85"/>
    <w:rsid w:val="371E5DB1"/>
    <w:rsid w:val="3E811B58"/>
    <w:rsid w:val="41B4781F"/>
    <w:rsid w:val="41B74B2D"/>
    <w:rsid w:val="445D582C"/>
    <w:rsid w:val="455C4DAE"/>
    <w:rsid w:val="471548BC"/>
    <w:rsid w:val="49935F6C"/>
    <w:rsid w:val="4ADD0E8E"/>
    <w:rsid w:val="4C233ECD"/>
    <w:rsid w:val="4D626381"/>
    <w:rsid w:val="52C6094B"/>
    <w:rsid w:val="57E016F5"/>
    <w:rsid w:val="59B83EF9"/>
    <w:rsid w:val="5D02548B"/>
    <w:rsid w:val="5E523488"/>
    <w:rsid w:val="5EA6047A"/>
    <w:rsid w:val="68996CA3"/>
    <w:rsid w:val="6AA54AC1"/>
    <w:rsid w:val="766A7ED1"/>
    <w:rsid w:val="768216BE"/>
    <w:rsid w:val="77157D93"/>
    <w:rsid w:val="79D81204"/>
    <w:rsid w:val="7A135CB1"/>
    <w:rsid w:val="7AE83ABA"/>
    <w:rsid w:val="7AF4245F"/>
    <w:rsid w:val="7B424F78"/>
    <w:rsid w:val="7C5A6206"/>
    <w:rsid w:val="7C5A73AD"/>
    <w:rsid w:val="7DC47633"/>
    <w:rsid w:val="7E372F70"/>
    <w:rsid w:val="7EAC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kern w:val="0"/>
      <w:sz w:val="20"/>
      <w:szCs w:val="20"/>
    </w:rPr>
  </w:style>
  <w:style w:type="paragraph" w:styleId="3">
    <w:name w:val="annotation text"/>
    <w:basedOn w:val="1"/>
    <w:link w:val="12"/>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tabs>
        <w:tab w:val="center" w:pos="4153"/>
        <w:tab w:val="right" w:pos="8306"/>
      </w:tabs>
      <w:snapToGrid w:val="0"/>
      <w:jc w:val="center"/>
    </w:pPr>
    <w:rPr>
      <w:sz w:val="18"/>
      <w:szCs w:val="18"/>
    </w:rPr>
  </w:style>
  <w:style w:type="paragraph" w:styleId="7">
    <w:name w:val="annotation subject"/>
    <w:basedOn w:val="3"/>
    <w:next w:val="3"/>
    <w:link w:val="13"/>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customStyle="1" w:styleId="11">
    <w:name w:val="null3"/>
    <w:basedOn w:val="1"/>
    <w:qFormat/>
    <w:uiPriority w:val="0"/>
    <w:pPr>
      <w:widowControl/>
      <w:jc w:val="left"/>
    </w:pPr>
    <w:rPr>
      <w:kern w:val="0"/>
      <w:sz w:val="24"/>
      <w:szCs w:val="24"/>
    </w:rPr>
  </w:style>
  <w:style w:type="character" w:customStyle="1" w:styleId="12">
    <w:name w:val="批注文字 字符"/>
    <w:basedOn w:val="9"/>
    <w:link w:val="3"/>
    <w:qFormat/>
    <w:uiPriority w:val="99"/>
    <w:rPr>
      <w:rFonts w:ascii="Calibri" w:hAnsi="Calibri" w:eastAsia="宋体" w:cs="Times New Roman"/>
      <w:szCs w:val="21"/>
    </w:rPr>
  </w:style>
  <w:style w:type="character" w:customStyle="1" w:styleId="13">
    <w:name w:val="批注主题 字符"/>
    <w:basedOn w:val="12"/>
    <w:link w:val="7"/>
    <w:semiHidden/>
    <w:qFormat/>
    <w:uiPriority w:val="99"/>
    <w:rPr>
      <w:rFonts w:ascii="Calibri" w:hAnsi="Calibri" w:eastAsia="宋体" w:cs="Times New Roman"/>
      <w:b/>
      <w:bCs/>
      <w:szCs w:val="21"/>
    </w:rPr>
  </w:style>
  <w:style w:type="paragraph" w:customStyle="1" w:styleId="14">
    <w:name w:val="修订1"/>
    <w:hidden/>
    <w:semiHidden/>
    <w:qFormat/>
    <w:uiPriority w:val="99"/>
    <w:rPr>
      <w:rFonts w:ascii="Calibri" w:hAnsi="Calibri" w:eastAsia="宋体" w:cs="Times New Roman"/>
      <w:kern w:val="2"/>
      <w:sz w:val="21"/>
      <w:szCs w:val="21"/>
      <w:lang w:val="en-US" w:eastAsia="zh-CN" w:bidi="ar-SA"/>
    </w:rPr>
  </w:style>
  <w:style w:type="paragraph" w:customStyle="1" w:styleId="15">
    <w:name w:val="02、首行缩进2字符正文"/>
    <w:basedOn w:val="1"/>
    <w:qFormat/>
    <w:uiPriority w:val="0"/>
    <w:pPr>
      <w:tabs>
        <w:tab w:val="left" w:pos="0"/>
      </w:tabs>
      <w:wordWrap w:val="0"/>
      <w:topLinePunct/>
      <w:spacing w:line="520" w:lineRule="exact"/>
      <w:ind w:firstLine="480" w:firstLineChars="200"/>
    </w:pPr>
  </w:style>
  <w:style w:type="character" w:customStyle="1" w:styleId="16">
    <w:name w:val="批注框文本 字符"/>
    <w:basedOn w:val="9"/>
    <w:link w:val="4"/>
    <w:semiHidden/>
    <w:qFormat/>
    <w:uiPriority w:val="99"/>
    <w:rPr>
      <w:rFonts w:ascii="Calibri" w:hAnsi="Calibri"/>
      <w:kern w:val="2"/>
      <w:sz w:val="18"/>
      <w:szCs w:val="18"/>
    </w:rPr>
  </w:style>
  <w:style w:type="paragraph" w:customStyle="1" w:styleId="17">
    <w:name w:val="修订2"/>
    <w:hidden/>
    <w:semiHidden/>
    <w:qFormat/>
    <w:uiPriority w:val="99"/>
    <w:rPr>
      <w:rFonts w:ascii="Calibri" w:hAnsi="Calibri" w:eastAsia="宋体" w:cs="Times New Roman"/>
      <w:kern w:val="2"/>
      <w:sz w:val="21"/>
      <w:szCs w:val="21"/>
      <w:lang w:val="en-US" w:eastAsia="zh-CN" w:bidi="ar-SA"/>
    </w:rPr>
  </w:style>
  <w:style w:type="paragraph" w:customStyle="1" w:styleId="18">
    <w:name w:val="修订3"/>
    <w:hidden/>
    <w:semiHidden/>
    <w:qFormat/>
    <w:uiPriority w:val="99"/>
    <w:rPr>
      <w:rFonts w:ascii="Calibri" w:hAnsi="Calibri" w:eastAsia="宋体" w:cs="Times New Roman"/>
      <w:kern w:val="2"/>
      <w:sz w:val="21"/>
      <w:szCs w:val="21"/>
      <w:lang w:val="en-US" w:eastAsia="zh-CN" w:bidi="ar-SA"/>
    </w:rPr>
  </w:style>
  <w:style w:type="character" w:customStyle="1" w:styleId="19">
    <w:name w:val="页眉 字符"/>
    <w:basedOn w:val="9"/>
    <w:link w:val="6"/>
    <w:qFormat/>
    <w:uiPriority w:val="99"/>
    <w:rPr>
      <w:rFonts w:ascii="Calibri" w:hAnsi="Calibri"/>
      <w:kern w:val="2"/>
      <w:sz w:val="18"/>
      <w:szCs w:val="18"/>
    </w:rPr>
  </w:style>
  <w:style w:type="character" w:customStyle="1" w:styleId="20">
    <w:name w:val="页脚 字符"/>
    <w:basedOn w:val="9"/>
    <w:link w:val="5"/>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E487B-1BF8-45D2-9AB1-B0A756451C65}">
  <ds:schemaRefs/>
</ds:datastoreItem>
</file>

<file path=docProps/app.xml><?xml version="1.0" encoding="utf-8"?>
<Properties xmlns="http://schemas.openxmlformats.org/officeDocument/2006/extended-properties" xmlns:vt="http://schemas.openxmlformats.org/officeDocument/2006/docPropsVTypes">
  <Template>Normal</Template>
  <Pages>12</Pages>
  <Words>2237</Words>
  <Characters>2611</Characters>
  <Lines>336</Lines>
  <Paragraphs>240</Paragraphs>
  <TotalTime>1</TotalTime>
  <ScaleCrop>false</ScaleCrop>
  <LinksUpToDate>false</LinksUpToDate>
  <CharactersWithSpaces>2650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2026-01-02T15:19:00Z</dcterms:created>
  <dc:creator>用户</dc:creator>
  <cp:lastModifiedBy>HP</cp:lastModifiedBy>
  <cp:lastPrinted>2026-03-07T06:23:00Z</cp:lastPrinted>
  <dcterms:modified xsi:type="dcterms:W3CDTF">2026-03-16T06:05:21Z</dcterms:modified>
  <cp:revision>255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eyJoZGlkIjoiMDAwNjViMTBlZDVmMGVmMTFjM2FmMzk2NDFkZDkwNmQiLCJ1c2VySWQiOiI2MTY1NjcyNjIifQ==</vt:lpwstr>
  </property>
  <property fmtid="{D5CDD505-2E9C-101B-9397-08002B2CF9AE}" pid="3" name="KSOProductBuildVer">
    <vt:lpwstr>2052-12.1.0.25225</vt:lpwstr>
  </property>
  <property fmtid="{D5CDD505-2E9C-101B-9397-08002B2CF9AE}" pid="4" name="ICV">
    <vt:lpwstr>65BF2AFADE074EF99EA36804C2369731_12</vt:lpwstr>
  </property>
</Properties>
</file>