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adjustRightInd/>
        <w:spacing w:line="400" w:lineRule="exact"/>
        <w:ind w:firstLine="683" w:firstLineChars="200"/>
        <w:jc w:val="center"/>
        <w:textAlignment w:val="auto"/>
        <w:rPr>
          <w:rFonts w:hint="default" w:ascii="仿宋" w:hAnsi="仿宋" w:eastAsia="仿宋" w:cs="仿宋"/>
          <w:lang w:val="en-US" w:eastAsia="zh-CN"/>
        </w:rPr>
      </w:pPr>
      <w:bookmarkStart w:id="0" w:name="_Hlt101843627"/>
      <w:bookmarkEnd w:id="0"/>
      <w:bookmarkStart w:id="1" w:name="_Hlt101233737"/>
      <w:bookmarkEnd w:id="1"/>
      <w:r>
        <w:rPr>
          <w:rFonts w:hint="eastAsia" w:ascii="仿宋" w:hAnsi="仿宋" w:eastAsia="仿宋" w:cs="仿宋"/>
          <w:b/>
          <w:bCs/>
          <w:lang w:val="en-US" w:eastAsia="zh-CN"/>
        </w:rPr>
        <w:fldChar w:fldCharType="begin"/>
      </w:r>
      <w:r>
        <w:rPr>
          <w:rFonts w:hint="eastAsia" w:ascii="仿宋" w:hAnsi="仿宋" w:eastAsia="仿宋" w:cs="仿宋"/>
          <w:b/>
          <w:bCs/>
          <w:lang w:val="en-US" w:eastAsia="zh-CN"/>
        </w:rPr>
        <w:instrText xml:space="preserve"> HYPERLINK "javascript:void(0)" </w:instrText>
      </w:r>
      <w:r>
        <w:rPr>
          <w:rFonts w:hint="eastAsia" w:ascii="仿宋" w:hAnsi="仿宋" w:eastAsia="仿宋" w:cs="仿宋"/>
          <w:b/>
          <w:bCs/>
          <w:lang w:val="en-US" w:eastAsia="zh-CN"/>
        </w:rPr>
        <w:fldChar w:fldCharType="separate"/>
      </w:r>
      <w:r>
        <w:rPr>
          <w:rFonts w:hint="eastAsia" w:ascii="仿宋" w:hAnsi="仿宋" w:eastAsia="仿宋" w:cs="仿宋"/>
          <w:b/>
          <w:bCs/>
          <w:lang w:val="en-US" w:eastAsia="zh-CN"/>
        </w:rPr>
        <w:t>2025年西华大学客车租赁采购</w:t>
      </w:r>
      <w:r>
        <w:rPr>
          <w:rFonts w:hint="eastAsia" w:ascii="仿宋" w:hAnsi="仿宋" w:eastAsia="仿宋" w:cs="仿宋"/>
          <w:b/>
          <w:bCs/>
          <w:lang w:val="en-US" w:eastAsia="zh-CN"/>
        </w:rPr>
        <w:fldChar w:fldCharType="end"/>
      </w:r>
      <w:r>
        <w:rPr>
          <w:rFonts w:hint="eastAsia" w:ascii="仿宋" w:hAnsi="仿宋" w:eastAsia="仿宋" w:cs="仿宋"/>
          <w:b/>
          <w:bCs/>
          <w:lang w:val="en-US" w:eastAsia="zh-CN"/>
        </w:rPr>
        <w:t>项目需求文件</w:t>
      </w:r>
    </w:p>
    <w:p>
      <w:pPr>
        <w:pageBreakBefore w:val="0"/>
        <w:widowControl/>
        <w:kinsoku/>
        <w:overflowPunct/>
        <w:topLinePunct w:val="0"/>
        <w:bidi w:val="0"/>
        <w:adjustRightInd/>
        <w:spacing w:line="400" w:lineRule="exact"/>
        <w:jc w:val="left"/>
        <w:textAlignment w:val="auto"/>
        <w:rPr>
          <w:rFonts w:hAnsi="宋体"/>
          <w:color w:val="000000"/>
          <w:sz w:val="32"/>
          <w:szCs w:val="32"/>
        </w:rPr>
      </w:pPr>
    </w:p>
    <w:p>
      <w:pPr>
        <w:pageBreakBefore w:val="0"/>
        <w:numPr>
          <w:ilvl w:val="0"/>
          <w:numId w:val="0"/>
        </w:numPr>
        <w:kinsoku/>
        <w:overflowPunct/>
        <w:topLinePunct w:val="0"/>
        <w:bidi w:val="0"/>
        <w:adjustRightInd/>
        <w:spacing w:line="40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一、项目概况</w:t>
      </w:r>
    </w:p>
    <w:p>
      <w:pPr>
        <w:pageBreakBefore w:val="0"/>
        <w:tabs>
          <w:tab w:val="left" w:pos="7665"/>
        </w:tabs>
        <w:kinsoku/>
        <w:overflowPunct/>
        <w:topLinePunct w:val="0"/>
        <w:bidi w:val="0"/>
        <w:adjustRightInd/>
        <w:spacing w:line="400" w:lineRule="exact"/>
        <w:ind w:firstLine="480" w:firstLineChars="200"/>
        <w:textAlignment w:val="auto"/>
        <w:rPr>
          <w:rFonts w:hint="default" w:ascii="仿宋" w:hAnsi="仿宋" w:eastAsia="仿宋" w:cs="Times New Roman"/>
          <w:sz w:val="24"/>
          <w:szCs w:val="24"/>
          <w:lang w:val="en-US" w:eastAsia="zh-CN"/>
        </w:rPr>
      </w:pPr>
      <w:bookmarkStart w:id="2" w:name="OLE_LINK1"/>
      <w:bookmarkStart w:id="28" w:name="_GoBack"/>
      <w:r>
        <w:rPr>
          <w:rFonts w:hint="eastAsia" w:ascii="仿宋" w:hAnsi="仿宋" w:eastAsia="仿宋" w:cs="Times New Roman"/>
          <w:sz w:val="24"/>
          <w:szCs w:val="24"/>
          <w:lang w:val="en-US" w:eastAsia="zh-CN"/>
        </w:rPr>
        <w:t>为更好的满足学校学生外出实习、学生的大型活动及各单位的教职工活动等用车需求现需外租部分社会车辆。项目预算金额80万元。</w:t>
      </w:r>
      <w:bookmarkEnd w:id="28"/>
    </w:p>
    <w:bookmarkEnd w:id="2"/>
    <w:p>
      <w:pPr>
        <w:pageBreakBefore w:val="0"/>
        <w:numPr>
          <w:ilvl w:val="0"/>
          <w:numId w:val="0"/>
        </w:numPr>
        <w:kinsoku/>
        <w:overflowPunct/>
        <w:topLinePunct w:val="0"/>
        <w:bidi w:val="0"/>
        <w:adjustRightInd/>
        <w:spacing w:line="360" w:lineRule="auto"/>
        <w:textAlignment w:val="auto"/>
        <w:rPr>
          <w:rFonts w:hAnsi="宋体"/>
          <w:b/>
          <w:bCs/>
          <w:color w:val="000000"/>
          <w:sz w:val="24"/>
          <w:szCs w:val="24"/>
        </w:rPr>
      </w:pPr>
      <w:r>
        <w:rPr>
          <w:rFonts w:hint="eastAsia" w:ascii="仿宋" w:hAnsi="仿宋" w:eastAsia="仿宋" w:cs="仿宋"/>
          <w:b/>
          <w:bCs/>
          <w:lang w:val="en-US" w:eastAsia="zh-CN"/>
        </w:rPr>
        <w:t>二、</w:t>
      </w:r>
      <w:r>
        <w:rPr>
          <w:rFonts w:hint="eastAsia" w:ascii="仿宋" w:hAnsi="仿宋" w:eastAsia="仿宋" w:cs="仿宋"/>
          <w:b/>
          <w:bCs/>
        </w:rPr>
        <w:t>参加采购活动的资格条件</w:t>
      </w:r>
      <w:r>
        <w:rPr>
          <w:rFonts w:hint="eastAsia" w:hAnsi="宋体"/>
          <w:b/>
          <w:bCs/>
          <w:color w:val="000000"/>
          <w:sz w:val="24"/>
          <w:szCs w:val="24"/>
        </w:rPr>
        <w:t>：</w:t>
      </w:r>
    </w:p>
    <w:p>
      <w:pPr>
        <w:pageBreakBefore w:val="0"/>
        <w:tabs>
          <w:tab w:val="left" w:pos="7665"/>
        </w:tabs>
        <w:kinsoku/>
        <w:overflowPunct/>
        <w:topLinePunct w:val="0"/>
        <w:bidi w:val="0"/>
        <w:adjustRightInd/>
        <w:spacing w:line="400" w:lineRule="exact"/>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（一）符合《中华人民共和国政府采购法》第二十二条规定的条件:</w:t>
      </w:r>
    </w:p>
    <w:p>
      <w:pPr>
        <w:pageBreakBefore w:val="0"/>
        <w:tabs>
          <w:tab w:val="left" w:pos="7665"/>
        </w:tabs>
        <w:kinsoku/>
        <w:overflowPunct/>
        <w:topLinePunct w:val="0"/>
        <w:bidi w:val="0"/>
        <w:adjustRightInd/>
        <w:spacing w:line="400" w:lineRule="exact"/>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1、具有独立承担民事责任的能力；</w:t>
      </w:r>
    </w:p>
    <w:p>
      <w:pPr>
        <w:pageBreakBefore w:val="0"/>
        <w:tabs>
          <w:tab w:val="left" w:pos="7665"/>
        </w:tabs>
        <w:kinsoku/>
        <w:overflowPunct/>
        <w:topLinePunct w:val="0"/>
        <w:bidi w:val="0"/>
        <w:adjustRightInd/>
        <w:spacing w:line="400" w:lineRule="exact"/>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2、具有良好的商业信誉和健全的财务会计制度；</w:t>
      </w:r>
    </w:p>
    <w:p>
      <w:pPr>
        <w:pageBreakBefore w:val="0"/>
        <w:tabs>
          <w:tab w:val="left" w:pos="7665"/>
        </w:tabs>
        <w:kinsoku/>
        <w:overflowPunct/>
        <w:topLinePunct w:val="0"/>
        <w:bidi w:val="0"/>
        <w:adjustRightInd/>
        <w:spacing w:line="400" w:lineRule="exact"/>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3、具有履行合同所必需的设备和专业技术能力；</w:t>
      </w:r>
    </w:p>
    <w:p>
      <w:pPr>
        <w:pageBreakBefore w:val="0"/>
        <w:tabs>
          <w:tab w:val="left" w:pos="7665"/>
        </w:tabs>
        <w:kinsoku/>
        <w:overflowPunct/>
        <w:topLinePunct w:val="0"/>
        <w:bidi w:val="0"/>
        <w:adjustRightInd/>
        <w:spacing w:line="400" w:lineRule="exact"/>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4、具有依法缴纳税收和社会保障资金的良好记录；</w:t>
      </w:r>
    </w:p>
    <w:p>
      <w:pPr>
        <w:pageBreakBefore w:val="0"/>
        <w:tabs>
          <w:tab w:val="left" w:pos="7665"/>
        </w:tabs>
        <w:kinsoku/>
        <w:overflowPunct/>
        <w:topLinePunct w:val="0"/>
        <w:bidi w:val="0"/>
        <w:adjustRightInd/>
        <w:spacing w:line="400" w:lineRule="exact"/>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5、参加政府采购活动前三年内，在经营活动中没有重大违法记录；</w:t>
      </w:r>
    </w:p>
    <w:p>
      <w:pPr>
        <w:pageBreakBefore w:val="0"/>
        <w:tabs>
          <w:tab w:val="left" w:pos="7665"/>
        </w:tabs>
        <w:kinsoku/>
        <w:overflowPunct/>
        <w:topLinePunct w:val="0"/>
        <w:bidi w:val="0"/>
        <w:adjustRightInd/>
        <w:spacing w:line="400" w:lineRule="exact"/>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6、法律、行政法规规定的其他条件。</w:t>
      </w:r>
    </w:p>
    <w:p>
      <w:pPr>
        <w:pageBreakBefore w:val="0"/>
        <w:tabs>
          <w:tab w:val="left" w:pos="7665"/>
        </w:tabs>
        <w:kinsoku/>
        <w:overflowPunct/>
        <w:topLinePunct w:val="0"/>
        <w:bidi w:val="0"/>
        <w:adjustRightInd/>
        <w:spacing w:line="400" w:lineRule="exact"/>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（二）落实政府采购政策需满足的资格要求：专门面向中小企业采购。</w:t>
      </w:r>
    </w:p>
    <w:p>
      <w:pPr>
        <w:pageBreakBefore w:val="0"/>
        <w:tabs>
          <w:tab w:val="left" w:pos="7665"/>
        </w:tabs>
        <w:kinsoku/>
        <w:overflowPunct/>
        <w:topLinePunct w:val="0"/>
        <w:bidi w:val="0"/>
        <w:adjustRightInd/>
        <w:spacing w:line="400" w:lineRule="exact"/>
        <w:ind w:firstLine="480" w:firstLineChars="200"/>
        <w:textAlignment w:val="auto"/>
        <w:rPr>
          <w:rFonts w:hAnsi="宋体"/>
          <w:color w:val="000000"/>
          <w:sz w:val="24"/>
          <w:szCs w:val="24"/>
        </w:rPr>
      </w:pPr>
      <w:r>
        <w:rPr>
          <w:rFonts w:hint="eastAsia" w:ascii="仿宋" w:hAnsi="仿宋" w:eastAsia="仿宋" w:cs="Times New Roman"/>
          <w:sz w:val="24"/>
          <w:szCs w:val="24"/>
          <w:lang w:val="en-US" w:eastAsia="zh-CN"/>
        </w:rPr>
        <w:t>（三）本项目的特定资格要求：供应商需具备国家行政主管部门颁发且在有效期内的《道路运输经营许可证》(或在交通运输行政管理部门取得从事汽车租赁或客车租赁的备案许可证明)。</w:t>
      </w:r>
      <w:r>
        <w:rPr>
          <w:rFonts w:hint="eastAsia" w:ascii="仿宋" w:hAnsi="仿宋" w:eastAsia="仿宋" w:cs="仿宋"/>
          <w:sz w:val="28"/>
          <w:szCs w:val="28"/>
          <w:lang w:val="en-US" w:eastAsia="zh-CN"/>
        </w:rPr>
        <w:t xml:space="preserve"> </w:t>
      </w:r>
    </w:p>
    <w:p>
      <w:pPr>
        <w:pageBreakBefore w:val="0"/>
        <w:kinsoku/>
        <w:overflowPunct/>
        <w:topLinePunct w:val="0"/>
        <w:bidi w:val="0"/>
        <w:adjustRightInd/>
        <w:spacing w:line="400" w:lineRule="exact"/>
        <w:textAlignment w:val="auto"/>
        <w:rPr>
          <w:rFonts w:hAnsi="宋体"/>
          <w:color w:val="000000"/>
          <w:sz w:val="24"/>
          <w:szCs w:val="24"/>
        </w:rPr>
      </w:pPr>
    </w:p>
    <w:p>
      <w:pPr>
        <w:pageBreakBefore w:val="0"/>
        <w:numPr>
          <w:ilvl w:val="0"/>
          <w:numId w:val="0"/>
        </w:numPr>
        <w:kinsoku/>
        <w:overflowPunct/>
        <w:topLinePunct w:val="0"/>
        <w:bidi w:val="0"/>
        <w:adjustRightInd/>
        <w:spacing w:line="360" w:lineRule="auto"/>
        <w:textAlignment w:val="auto"/>
        <w:rPr>
          <w:rFonts w:hint="eastAsia" w:ascii="仿宋" w:hAnsi="仿宋" w:eastAsia="仿宋" w:cs="仿宋"/>
          <w:b/>
          <w:bCs/>
          <w:lang w:val="en-US" w:eastAsia="zh-CN"/>
        </w:rPr>
      </w:pPr>
      <w:bookmarkStart w:id="3" w:name="_Toc3429"/>
      <w:r>
        <w:rPr>
          <w:rFonts w:hint="eastAsia" w:ascii="仿宋" w:hAnsi="仿宋" w:eastAsia="仿宋" w:cs="仿宋"/>
          <w:b/>
          <w:bCs/>
          <w:lang w:val="en-US" w:eastAsia="zh-CN"/>
        </w:rPr>
        <w:t>三、项目清单</w:t>
      </w:r>
      <w:bookmarkEnd w:id="3"/>
    </w:p>
    <w:tbl>
      <w:tblPr>
        <w:tblStyle w:val="4"/>
        <w:tblW w:w="811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217"/>
        <w:gridCol w:w="700"/>
        <w:gridCol w:w="750"/>
        <w:gridCol w:w="1100"/>
        <w:gridCol w:w="1016"/>
        <w:gridCol w:w="900"/>
        <w:gridCol w:w="867"/>
        <w:gridCol w:w="9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61"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b/>
                <w:bCs/>
                <w:sz w:val="22"/>
                <w:szCs w:val="15"/>
              </w:rPr>
            </w:pPr>
            <w:r>
              <w:rPr>
                <w:rFonts w:hint="eastAsia" w:hAnsi="宋体" w:cs="宋体"/>
                <w:b/>
                <w:bCs/>
                <w:sz w:val="22"/>
                <w:szCs w:val="15"/>
              </w:rPr>
              <w:t>包号</w:t>
            </w:r>
          </w:p>
        </w:tc>
        <w:tc>
          <w:tcPr>
            <w:tcW w:w="1217"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b/>
                <w:bCs/>
                <w:sz w:val="22"/>
                <w:szCs w:val="15"/>
              </w:rPr>
            </w:pPr>
            <w:r>
              <w:rPr>
                <w:rFonts w:hint="eastAsia" w:hAnsi="宋体" w:cs="宋体"/>
                <w:b/>
                <w:bCs/>
                <w:sz w:val="22"/>
                <w:szCs w:val="15"/>
              </w:rPr>
              <w:t>标的名称</w:t>
            </w:r>
          </w:p>
        </w:tc>
        <w:tc>
          <w:tcPr>
            <w:tcW w:w="700"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b/>
                <w:bCs/>
                <w:sz w:val="22"/>
                <w:szCs w:val="15"/>
              </w:rPr>
            </w:pPr>
            <w:r>
              <w:rPr>
                <w:rFonts w:hint="eastAsia" w:hAnsi="宋体" w:cs="宋体"/>
                <w:b/>
                <w:bCs/>
                <w:sz w:val="22"/>
                <w:szCs w:val="15"/>
              </w:rPr>
              <w:t>数量</w:t>
            </w:r>
          </w:p>
        </w:tc>
        <w:tc>
          <w:tcPr>
            <w:tcW w:w="750"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b/>
                <w:bCs/>
                <w:sz w:val="22"/>
                <w:szCs w:val="15"/>
              </w:rPr>
            </w:pPr>
            <w:r>
              <w:rPr>
                <w:rFonts w:hint="eastAsia" w:hAnsi="宋体" w:cs="宋体"/>
                <w:b/>
                <w:bCs/>
                <w:sz w:val="22"/>
                <w:szCs w:val="15"/>
              </w:rPr>
              <w:t>单位</w:t>
            </w:r>
          </w:p>
        </w:tc>
        <w:tc>
          <w:tcPr>
            <w:tcW w:w="1100"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b/>
                <w:bCs/>
                <w:sz w:val="22"/>
                <w:szCs w:val="15"/>
              </w:rPr>
            </w:pPr>
            <w:r>
              <w:rPr>
                <w:rFonts w:hint="eastAsia" w:hAnsi="宋体" w:cs="宋体"/>
                <w:b/>
                <w:bCs/>
                <w:sz w:val="22"/>
                <w:szCs w:val="15"/>
              </w:rPr>
              <w:t>所属行业</w:t>
            </w:r>
          </w:p>
        </w:tc>
        <w:tc>
          <w:tcPr>
            <w:tcW w:w="1016"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b/>
                <w:bCs/>
                <w:sz w:val="22"/>
                <w:szCs w:val="15"/>
              </w:rPr>
            </w:pPr>
            <w:r>
              <w:rPr>
                <w:rFonts w:hint="eastAsia" w:hAnsi="宋体" w:cs="宋体"/>
                <w:b/>
                <w:bCs/>
                <w:sz w:val="22"/>
                <w:szCs w:val="15"/>
              </w:rPr>
              <w:t>是否强制节能产品</w:t>
            </w:r>
          </w:p>
        </w:tc>
        <w:tc>
          <w:tcPr>
            <w:tcW w:w="900"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b/>
                <w:bCs/>
                <w:sz w:val="22"/>
                <w:szCs w:val="15"/>
              </w:rPr>
            </w:pPr>
            <w:r>
              <w:rPr>
                <w:rFonts w:hint="eastAsia" w:hAnsi="宋体" w:cs="宋体"/>
                <w:b/>
                <w:bCs/>
                <w:sz w:val="22"/>
                <w:szCs w:val="15"/>
              </w:rPr>
              <w:t>是否优先节能</w:t>
            </w:r>
          </w:p>
        </w:tc>
        <w:tc>
          <w:tcPr>
            <w:tcW w:w="867"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b/>
                <w:bCs/>
                <w:sz w:val="22"/>
                <w:szCs w:val="15"/>
              </w:rPr>
            </w:pPr>
            <w:r>
              <w:rPr>
                <w:rFonts w:hint="eastAsia" w:hAnsi="宋体" w:cs="宋体"/>
                <w:b/>
                <w:bCs/>
                <w:sz w:val="22"/>
                <w:szCs w:val="15"/>
              </w:rPr>
              <w:t>是否优先环保</w:t>
            </w:r>
          </w:p>
        </w:tc>
        <w:tc>
          <w:tcPr>
            <w:tcW w:w="901"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b/>
                <w:bCs/>
                <w:sz w:val="22"/>
                <w:szCs w:val="15"/>
              </w:rPr>
            </w:pPr>
            <w:r>
              <w:rPr>
                <w:rFonts w:hint="eastAsia" w:hAnsi="宋体" w:cs="宋体"/>
                <w:b/>
                <w:bCs/>
                <w:sz w:val="22"/>
                <w:szCs w:val="15"/>
              </w:rPr>
              <w:t>是否属于网络安全专用产品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61"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sz w:val="22"/>
                <w:szCs w:val="15"/>
              </w:rPr>
            </w:pPr>
            <w:r>
              <w:rPr>
                <w:rFonts w:hint="eastAsia" w:hAnsi="宋体" w:cs="宋体"/>
                <w:sz w:val="22"/>
                <w:szCs w:val="15"/>
              </w:rPr>
              <w:t>1</w:t>
            </w:r>
          </w:p>
        </w:tc>
        <w:tc>
          <w:tcPr>
            <w:tcW w:w="1217"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sz w:val="22"/>
                <w:szCs w:val="15"/>
              </w:rPr>
            </w:pPr>
            <w:r>
              <w:rPr>
                <w:rFonts w:hint="eastAsia" w:hAnsi="宋体" w:cs="宋体"/>
                <w:sz w:val="22"/>
                <w:szCs w:val="15"/>
                <w:lang w:val="en-US" w:eastAsia="zh-CN"/>
              </w:rPr>
              <w:t>西华大学</w:t>
            </w:r>
            <w:r>
              <w:rPr>
                <w:rFonts w:hint="eastAsia" w:hAnsi="宋体" w:cs="宋体"/>
                <w:sz w:val="22"/>
                <w:szCs w:val="15"/>
              </w:rPr>
              <w:t>客车租赁服务</w:t>
            </w:r>
          </w:p>
        </w:tc>
        <w:tc>
          <w:tcPr>
            <w:tcW w:w="700"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sz w:val="22"/>
                <w:szCs w:val="15"/>
              </w:rPr>
            </w:pPr>
            <w:r>
              <w:rPr>
                <w:rFonts w:hint="eastAsia" w:hAnsi="宋体" w:cs="宋体"/>
                <w:sz w:val="22"/>
                <w:szCs w:val="15"/>
              </w:rPr>
              <w:t>1</w:t>
            </w:r>
          </w:p>
        </w:tc>
        <w:tc>
          <w:tcPr>
            <w:tcW w:w="750"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sz w:val="22"/>
                <w:szCs w:val="15"/>
              </w:rPr>
            </w:pPr>
            <w:r>
              <w:rPr>
                <w:rFonts w:hint="eastAsia" w:hAnsi="宋体" w:cs="宋体"/>
                <w:sz w:val="22"/>
                <w:szCs w:val="15"/>
              </w:rPr>
              <w:t>项</w:t>
            </w:r>
          </w:p>
        </w:tc>
        <w:tc>
          <w:tcPr>
            <w:tcW w:w="1100"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sz w:val="22"/>
                <w:szCs w:val="15"/>
              </w:rPr>
            </w:pPr>
            <w:r>
              <w:rPr>
                <w:rFonts w:hint="eastAsia" w:hAnsi="宋体" w:cs="宋体"/>
                <w:sz w:val="22"/>
                <w:szCs w:val="15"/>
              </w:rPr>
              <w:t>租赁和商务服务业</w:t>
            </w:r>
          </w:p>
        </w:tc>
        <w:tc>
          <w:tcPr>
            <w:tcW w:w="1016"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sz w:val="22"/>
                <w:szCs w:val="15"/>
              </w:rPr>
            </w:pPr>
            <w:r>
              <w:rPr>
                <w:rFonts w:hint="eastAsia" w:hAnsi="宋体" w:cs="宋体"/>
                <w:sz w:val="22"/>
                <w:szCs w:val="15"/>
              </w:rPr>
              <w:t>否</w:t>
            </w:r>
          </w:p>
        </w:tc>
        <w:tc>
          <w:tcPr>
            <w:tcW w:w="900"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sz w:val="22"/>
                <w:szCs w:val="15"/>
              </w:rPr>
            </w:pPr>
            <w:r>
              <w:rPr>
                <w:rFonts w:hint="eastAsia" w:hAnsi="宋体" w:cs="宋体"/>
                <w:sz w:val="22"/>
                <w:szCs w:val="15"/>
              </w:rPr>
              <w:t>否</w:t>
            </w:r>
          </w:p>
        </w:tc>
        <w:tc>
          <w:tcPr>
            <w:tcW w:w="867"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sz w:val="22"/>
                <w:szCs w:val="15"/>
              </w:rPr>
            </w:pPr>
            <w:r>
              <w:rPr>
                <w:rFonts w:hint="eastAsia" w:hAnsi="宋体" w:cs="宋体"/>
                <w:sz w:val="22"/>
                <w:szCs w:val="15"/>
              </w:rPr>
              <w:t>否</w:t>
            </w:r>
          </w:p>
        </w:tc>
        <w:tc>
          <w:tcPr>
            <w:tcW w:w="901" w:type="dxa"/>
            <w:tcBorders>
              <w:tl2br w:val="nil"/>
              <w:tr2bl w:val="nil"/>
            </w:tcBorders>
            <w:vAlign w:val="center"/>
          </w:tcPr>
          <w:p>
            <w:pPr>
              <w:pageBreakBefore w:val="0"/>
              <w:kinsoku/>
              <w:overflowPunct/>
              <w:topLinePunct w:val="0"/>
              <w:bidi w:val="0"/>
              <w:adjustRightInd/>
              <w:spacing w:line="400" w:lineRule="exact"/>
              <w:jc w:val="center"/>
              <w:textAlignment w:val="auto"/>
              <w:rPr>
                <w:rFonts w:hAnsi="宋体" w:cs="宋体"/>
                <w:sz w:val="22"/>
                <w:szCs w:val="15"/>
              </w:rPr>
            </w:pPr>
            <w:r>
              <w:rPr>
                <w:rFonts w:hint="eastAsia" w:hAnsi="宋体" w:cs="宋体"/>
                <w:sz w:val="22"/>
                <w:szCs w:val="15"/>
              </w:rPr>
              <w:t>否</w:t>
            </w:r>
          </w:p>
        </w:tc>
      </w:tr>
    </w:tbl>
    <w:p>
      <w:pPr>
        <w:pageBreakBefore w:val="0"/>
        <w:numPr>
          <w:ilvl w:val="0"/>
          <w:numId w:val="0"/>
        </w:numPr>
        <w:kinsoku/>
        <w:overflowPunct/>
        <w:topLinePunct w:val="0"/>
        <w:bidi w:val="0"/>
        <w:adjustRightInd/>
        <w:spacing w:line="360" w:lineRule="auto"/>
        <w:textAlignment w:val="auto"/>
        <w:rPr>
          <w:rFonts w:hint="eastAsia" w:ascii="仿宋" w:hAnsi="仿宋" w:eastAsia="仿宋" w:cs="仿宋"/>
          <w:b/>
          <w:bCs/>
          <w:lang w:val="en-US" w:eastAsia="zh-CN"/>
        </w:rPr>
      </w:pPr>
      <w:bookmarkStart w:id="4" w:name="_Toc6958"/>
      <w:bookmarkEnd w:id="4"/>
      <w:bookmarkStart w:id="5" w:name="_Toc29659"/>
      <w:r>
        <w:rPr>
          <w:rFonts w:hint="eastAsia" w:ascii="仿宋" w:hAnsi="仿宋" w:eastAsia="仿宋" w:cs="仿宋"/>
          <w:b/>
          <w:bCs/>
          <w:lang w:val="en-US" w:eastAsia="zh-CN"/>
        </w:rPr>
        <w:t>四、服务内容及要求</w:t>
      </w:r>
      <w:bookmarkEnd w:id="5"/>
    </w:p>
    <w:p>
      <w:pPr>
        <w:pageBreakBefore w:val="0"/>
        <w:tabs>
          <w:tab w:val="left" w:pos="7665"/>
        </w:tabs>
        <w:kinsoku/>
        <w:overflowPunct/>
        <w:topLinePunct w:val="0"/>
        <w:bidi w:val="0"/>
        <w:adjustRightInd/>
        <w:spacing w:line="400" w:lineRule="exact"/>
        <w:textAlignment w:val="auto"/>
        <w:rPr>
          <w:rFonts w:ascii="仿宋" w:hAnsi="仿宋" w:eastAsia="仿宋"/>
          <w:b/>
          <w:bCs/>
          <w:sz w:val="24"/>
          <w:szCs w:val="24"/>
        </w:rPr>
      </w:pPr>
      <w:bookmarkStart w:id="6" w:name="_Toc31112"/>
      <w:bookmarkEnd w:id="6"/>
      <w:bookmarkStart w:id="7" w:name="_Toc12425"/>
      <w:bookmarkEnd w:id="7"/>
      <w:bookmarkStart w:id="8" w:name="_Toc7461"/>
      <w:bookmarkStart w:id="9" w:name="_Toc26822"/>
      <w:bookmarkStart w:id="10" w:name="_Toc12968"/>
      <w:bookmarkStart w:id="11" w:name="_Toc15303"/>
      <w:bookmarkStart w:id="12" w:name="_Toc30785"/>
      <w:r>
        <w:rPr>
          <w:rFonts w:hint="eastAsia" w:ascii="仿宋" w:hAnsi="仿宋" w:eastAsia="仿宋"/>
          <w:b/>
          <w:bCs/>
          <w:sz w:val="24"/>
          <w:szCs w:val="24"/>
        </w:rPr>
        <w:t>（一）服务内容及模式</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本项目所采购的交通车辆服务，车辆租赁服务分为两种模式。</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 xml:space="preserve"> “人车共派”模式，即供应商须为采购人同时提供车辆和驾驶员。</w:t>
      </w:r>
    </w:p>
    <w:p>
      <w:pPr>
        <w:pageBreakBefore w:val="0"/>
        <w:tabs>
          <w:tab w:val="left" w:pos="7665"/>
        </w:tabs>
        <w:kinsoku/>
        <w:overflowPunct/>
        <w:topLinePunct w:val="0"/>
        <w:bidi w:val="0"/>
        <w:adjustRightInd/>
        <w:spacing w:line="400" w:lineRule="exact"/>
        <w:ind w:firstLine="480" w:firstLineChars="200"/>
        <w:textAlignment w:val="auto"/>
        <w:rPr>
          <w:rFonts w:hint="eastAsia" w:ascii="仿宋" w:hAnsi="仿宋" w:eastAsia="仿宋"/>
          <w:sz w:val="24"/>
          <w:szCs w:val="24"/>
          <w:lang w:eastAsia="zh-CN"/>
        </w:rPr>
      </w:pPr>
      <w:r>
        <w:rPr>
          <w:rFonts w:hint="eastAsia" w:ascii="仿宋" w:hAnsi="仿宋" w:eastAsia="仿宋"/>
          <w:sz w:val="24"/>
          <w:szCs w:val="24"/>
        </w:rPr>
        <w:t xml:space="preserve"> “人车分离”模式，即供应商为采购人提供车辆，驾驶员由采购人自行安排</w:t>
      </w:r>
      <w:r>
        <w:rPr>
          <w:rFonts w:hint="eastAsia" w:ascii="仿宋" w:hAnsi="仿宋" w:eastAsia="仿宋"/>
          <w:sz w:val="24"/>
          <w:szCs w:val="24"/>
          <w:lang w:eastAsia="zh-CN"/>
        </w:rPr>
        <w:t>。</w:t>
      </w:r>
    </w:p>
    <w:bookmarkEnd w:id="8"/>
    <w:bookmarkEnd w:id="9"/>
    <w:p>
      <w:pPr>
        <w:pageBreakBefore w:val="0"/>
        <w:tabs>
          <w:tab w:val="left" w:pos="7665"/>
        </w:tabs>
        <w:kinsoku/>
        <w:overflowPunct/>
        <w:topLinePunct w:val="0"/>
        <w:bidi w:val="0"/>
        <w:adjustRightInd/>
        <w:spacing w:line="400" w:lineRule="exact"/>
        <w:ind w:firstLine="482" w:firstLineChars="200"/>
        <w:textAlignment w:val="auto"/>
        <w:rPr>
          <w:rFonts w:ascii="仿宋" w:hAnsi="仿宋" w:eastAsia="仿宋"/>
          <w:b/>
          <w:bCs/>
          <w:sz w:val="24"/>
          <w:szCs w:val="24"/>
        </w:rPr>
      </w:pPr>
      <w:bookmarkStart w:id="13" w:name="_Toc30328"/>
      <w:bookmarkEnd w:id="13"/>
      <w:bookmarkStart w:id="14" w:name="_Toc26624"/>
      <w:bookmarkEnd w:id="14"/>
      <w:r>
        <w:rPr>
          <w:rFonts w:hint="eastAsia" w:ascii="仿宋" w:hAnsi="仿宋" w:eastAsia="仿宋"/>
          <w:b/>
          <w:bCs/>
          <w:sz w:val="24"/>
          <w:szCs w:val="24"/>
        </w:rPr>
        <w:t>（二）费用清单及最高单价限价</w:t>
      </w:r>
    </w:p>
    <w:tbl>
      <w:tblPr>
        <w:tblStyle w:val="4"/>
        <w:tblW w:w="8897"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8"/>
        <w:gridCol w:w="2223"/>
        <w:gridCol w:w="886"/>
        <w:gridCol w:w="975"/>
        <w:gridCol w:w="765"/>
        <w:gridCol w:w="826"/>
        <w:gridCol w:w="827"/>
        <w:gridCol w:w="584"/>
        <w:gridCol w:w="584"/>
        <w:gridCol w:w="709"/>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cantSplit/>
          <w:trHeight w:val="705" w:hRule="atLeast"/>
          <w:jc w:val="center"/>
        </w:trPr>
        <w:tc>
          <w:tcPr>
            <w:tcW w:w="518" w:type="dxa"/>
            <w:vMerge w:val="restart"/>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序号</w:t>
            </w:r>
          </w:p>
        </w:tc>
        <w:tc>
          <w:tcPr>
            <w:tcW w:w="2223" w:type="dxa"/>
            <w:vMerge w:val="restart"/>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车型</w:t>
            </w:r>
          </w:p>
        </w:tc>
        <w:tc>
          <w:tcPr>
            <w:tcW w:w="2626" w:type="dxa"/>
            <w:gridSpan w:val="3"/>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车辆运行费用</w:t>
            </w:r>
          </w:p>
        </w:tc>
        <w:tc>
          <w:tcPr>
            <w:tcW w:w="3530" w:type="dxa"/>
            <w:gridSpan w:val="5"/>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驾驶员费用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965" w:hRule="atLeast"/>
          <w:jc w:val="center"/>
        </w:trPr>
        <w:tc>
          <w:tcPr>
            <w:tcW w:w="518" w:type="dxa"/>
            <w:vMerge w:val="continue"/>
            <w:noWrap/>
            <w:tcMar>
              <w:top w:w="12" w:type="dxa"/>
              <w:left w:w="12" w:type="dxa"/>
              <w:right w:w="12" w:type="dxa"/>
            </w:tcMar>
            <w:vAlign w:val="center"/>
          </w:tcPr>
          <w:p>
            <w:pPr>
              <w:pageBreakBefore w:val="0"/>
              <w:kinsoku/>
              <w:overflowPunct/>
              <w:topLinePunct w:val="0"/>
              <w:bidi w:val="0"/>
              <w:adjustRightInd/>
              <w:spacing w:line="400" w:lineRule="exact"/>
              <w:jc w:val="center"/>
              <w:textAlignment w:val="auto"/>
              <w:rPr>
                <w:rFonts w:ascii="仿宋" w:hAnsi="仿宋" w:eastAsia="仿宋"/>
                <w:b/>
                <w:bCs w:val="0"/>
                <w:color w:val="000000"/>
                <w:sz w:val="24"/>
                <w:szCs w:val="24"/>
              </w:rPr>
            </w:pPr>
          </w:p>
        </w:tc>
        <w:tc>
          <w:tcPr>
            <w:tcW w:w="2223" w:type="dxa"/>
            <w:vMerge w:val="continue"/>
            <w:noWrap/>
            <w:tcMar>
              <w:top w:w="12" w:type="dxa"/>
              <w:left w:w="12" w:type="dxa"/>
              <w:right w:w="12" w:type="dxa"/>
            </w:tcMar>
            <w:vAlign w:val="center"/>
          </w:tcPr>
          <w:p>
            <w:pPr>
              <w:pageBreakBefore w:val="0"/>
              <w:kinsoku/>
              <w:overflowPunct/>
              <w:topLinePunct w:val="0"/>
              <w:bidi w:val="0"/>
              <w:adjustRightInd/>
              <w:spacing w:line="400" w:lineRule="exact"/>
              <w:jc w:val="center"/>
              <w:textAlignment w:val="auto"/>
              <w:rPr>
                <w:rFonts w:ascii="仿宋" w:hAnsi="仿宋" w:eastAsia="仿宋"/>
                <w:b/>
                <w:bCs w:val="0"/>
                <w:color w:val="000000"/>
                <w:sz w:val="24"/>
                <w:szCs w:val="24"/>
              </w:rPr>
            </w:pPr>
          </w:p>
        </w:tc>
        <w:tc>
          <w:tcPr>
            <w:tcW w:w="886"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半天基本租车费</w:t>
            </w:r>
          </w:p>
        </w:tc>
        <w:tc>
          <w:tcPr>
            <w:tcW w:w="975"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全天基本租车费</w:t>
            </w:r>
          </w:p>
        </w:tc>
        <w:tc>
          <w:tcPr>
            <w:tcW w:w="765"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油费</w:t>
            </w:r>
          </w:p>
        </w:tc>
        <w:tc>
          <w:tcPr>
            <w:tcW w:w="826"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4小时内驾驶员</w:t>
            </w:r>
          </w:p>
        </w:tc>
        <w:tc>
          <w:tcPr>
            <w:tcW w:w="827"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4-8小时内驾驶员</w:t>
            </w:r>
          </w:p>
        </w:tc>
        <w:tc>
          <w:tcPr>
            <w:tcW w:w="584"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餐费</w:t>
            </w:r>
          </w:p>
        </w:tc>
        <w:tc>
          <w:tcPr>
            <w:tcW w:w="584"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住宿</w:t>
            </w:r>
          </w:p>
        </w:tc>
        <w:tc>
          <w:tcPr>
            <w:tcW w:w="709"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超过8小时</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965" w:hRule="atLeast"/>
          <w:jc w:val="center"/>
        </w:trPr>
        <w:tc>
          <w:tcPr>
            <w:tcW w:w="518" w:type="dxa"/>
            <w:vMerge w:val="continue"/>
            <w:noWrap/>
            <w:tcMar>
              <w:top w:w="12" w:type="dxa"/>
              <w:left w:w="12" w:type="dxa"/>
              <w:right w:w="12" w:type="dxa"/>
            </w:tcMar>
            <w:vAlign w:val="center"/>
          </w:tcPr>
          <w:p>
            <w:pPr>
              <w:pageBreakBefore w:val="0"/>
              <w:kinsoku/>
              <w:overflowPunct/>
              <w:topLinePunct w:val="0"/>
              <w:bidi w:val="0"/>
              <w:adjustRightInd/>
              <w:spacing w:line="400" w:lineRule="exact"/>
              <w:jc w:val="center"/>
              <w:textAlignment w:val="auto"/>
              <w:rPr>
                <w:rFonts w:ascii="仿宋" w:hAnsi="仿宋" w:eastAsia="仿宋"/>
                <w:b/>
                <w:bCs w:val="0"/>
                <w:color w:val="000000"/>
                <w:sz w:val="24"/>
                <w:szCs w:val="24"/>
              </w:rPr>
            </w:pPr>
          </w:p>
        </w:tc>
        <w:tc>
          <w:tcPr>
            <w:tcW w:w="2223" w:type="dxa"/>
            <w:vMerge w:val="continue"/>
            <w:noWrap/>
            <w:tcMar>
              <w:top w:w="12" w:type="dxa"/>
              <w:left w:w="12" w:type="dxa"/>
              <w:right w:w="12" w:type="dxa"/>
            </w:tcMar>
            <w:vAlign w:val="center"/>
          </w:tcPr>
          <w:p>
            <w:pPr>
              <w:pageBreakBefore w:val="0"/>
              <w:kinsoku/>
              <w:overflowPunct/>
              <w:topLinePunct w:val="0"/>
              <w:bidi w:val="0"/>
              <w:adjustRightInd/>
              <w:spacing w:line="400" w:lineRule="exact"/>
              <w:jc w:val="center"/>
              <w:textAlignment w:val="auto"/>
              <w:rPr>
                <w:rFonts w:ascii="仿宋" w:hAnsi="仿宋" w:eastAsia="仿宋"/>
                <w:b/>
                <w:bCs w:val="0"/>
                <w:color w:val="000000"/>
                <w:sz w:val="24"/>
                <w:szCs w:val="24"/>
              </w:rPr>
            </w:pPr>
          </w:p>
        </w:tc>
        <w:tc>
          <w:tcPr>
            <w:tcW w:w="886"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（元）</w:t>
            </w:r>
          </w:p>
        </w:tc>
        <w:tc>
          <w:tcPr>
            <w:tcW w:w="975"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（元）</w:t>
            </w:r>
          </w:p>
        </w:tc>
        <w:tc>
          <w:tcPr>
            <w:tcW w:w="765"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（元/公里）</w:t>
            </w:r>
          </w:p>
        </w:tc>
        <w:tc>
          <w:tcPr>
            <w:tcW w:w="826"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劳务费（元）</w:t>
            </w:r>
          </w:p>
        </w:tc>
        <w:tc>
          <w:tcPr>
            <w:tcW w:w="827"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劳务费（元）</w:t>
            </w:r>
          </w:p>
        </w:tc>
        <w:tc>
          <w:tcPr>
            <w:tcW w:w="584"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（元/餐）</w:t>
            </w:r>
          </w:p>
        </w:tc>
        <w:tc>
          <w:tcPr>
            <w:tcW w:w="584"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（元/晚）</w:t>
            </w:r>
          </w:p>
        </w:tc>
        <w:tc>
          <w:tcPr>
            <w:tcW w:w="709"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（元/小时）</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518"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w:t>
            </w:r>
          </w:p>
        </w:tc>
        <w:tc>
          <w:tcPr>
            <w:tcW w:w="2223"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新能源</w:t>
            </w:r>
            <w:r>
              <w:rPr>
                <w:rFonts w:ascii="仿宋" w:hAnsi="仿宋" w:eastAsia="仿宋"/>
                <w:b/>
                <w:bCs w:val="0"/>
                <w:color w:val="000000"/>
                <w:sz w:val="24"/>
                <w:szCs w:val="24"/>
                <w:lang w:bidi="ar"/>
              </w:rPr>
              <w:t>轿车（</w:t>
            </w:r>
            <w:r>
              <w:rPr>
                <w:rFonts w:hint="eastAsia" w:ascii="仿宋" w:hAnsi="仿宋" w:eastAsia="仿宋"/>
                <w:b/>
                <w:bCs w:val="0"/>
                <w:color w:val="000000"/>
                <w:sz w:val="24"/>
                <w:szCs w:val="24"/>
                <w:lang w:bidi="ar"/>
              </w:rPr>
              <w:t>帕萨特</w:t>
            </w:r>
            <w:r>
              <w:rPr>
                <w:rFonts w:ascii="仿宋" w:hAnsi="仿宋" w:eastAsia="仿宋"/>
                <w:b/>
                <w:bCs w:val="0"/>
                <w:color w:val="000000"/>
                <w:sz w:val="24"/>
                <w:szCs w:val="24"/>
                <w:lang w:bidi="ar"/>
              </w:rPr>
              <w:t>类似配置）</w:t>
            </w:r>
          </w:p>
        </w:tc>
        <w:tc>
          <w:tcPr>
            <w:tcW w:w="88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252</w:t>
            </w:r>
          </w:p>
        </w:tc>
        <w:tc>
          <w:tcPr>
            <w:tcW w:w="97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342</w:t>
            </w:r>
          </w:p>
        </w:tc>
        <w:tc>
          <w:tcPr>
            <w:tcW w:w="76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w:t>
            </w:r>
          </w:p>
        </w:tc>
        <w:tc>
          <w:tcPr>
            <w:tcW w:w="82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bidi="ar"/>
              </w:rPr>
              <w:t>1</w:t>
            </w:r>
            <w:r>
              <w:rPr>
                <w:rFonts w:hint="eastAsia" w:ascii="仿宋" w:hAnsi="仿宋" w:eastAsia="仿宋"/>
                <w:b/>
                <w:bCs w:val="0"/>
                <w:color w:val="000000"/>
                <w:sz w:val="24"/>
                <w:szCs w:val="24"/>
                <w:lang w:val="en-US" w:eastAsia="zh-CN" w:bidi="ar"/>
              </w:rPr>
              <w:t>08</w:t>
            </w:r>
          </w:p>
        </w:tc>
        <w:tc>
          <w:tcPr>
            <w:tcW w:w="827"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162</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150</w:t>
            </w:r>
          </w:p>
        </w:tc>
        <w:tc>
          <w:tcPr>
            <w:tcW w:w="709"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518"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2</w:t>
            </w:r>
          </w:p>
        </w:tc>
        <w:tc>
          <w:tcPr>
            <w:tcW w:w="2223"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新能源</w:t>
            </w:r>
            <w:r>
              <w:rPr>
                <w:rFonts w:ascii="仿宋" w:hAnsi="仿宋" w:eastAsia="仿宋"/>
                <w:b/>
                <w:bCs w:val="0"/>
                <w:color w:val="000000"/>
                <w:sz w:val="24"/>
                <w:szCs w:val="24"/>
                <w:lang w:bidi="ar"/>
              </w:rPr>
              <w:t>商务车（</w:t>
            </w:r>
            <w:r>
              <w:rPr>
                <w:rFonts w:hint="eastAsia" w:ascii="仿宋" w:hAnsi="仿宋" w:eastAsia="仿宋"/>
                <w:b/>
                <w:bCs w:val="0"/>
                <w:color w:val="000000"/>
                <w:sz w:val="24"/>
                <w:szCs w:val="24"/>
                <w:lang w:bidi="ar"/>
              </w:rPr>
              <w:t>7</w:t>
            </w:r>
            <w:r>
              <w:rPr>
                <w:rFonts w:ascii="仿宋" w:hAnsi="仿宋" w:eastAsia="仿宋"/>
                <w:b/>
                <w:bCs w:val="0"/>
                <w:color w:val="000000"/>
                <w:sz w:val="24"/>
                <w:szCs w:val="24"/>
                <w:lang w:bidi="ar"/>
              </w:rPr>
              <w:t>-9</w:t>
            </w:r>
            <w:r>
              <w:rPr>
                <w:rFonts w:hint="eastAsia" w:ascii="仿宋" w:hAnsi="仿宋" w:eastAsia="仿宋"/>
                <w:b/>
                <w:bCs w:val="0"/>
                <w:color w:val="000000"/>
                <w:sz w:val="24"/>
                <w:szCs w:val="24"/>
                <w:lang w:bidi="ar"/>
              </w:rPr>
              <w:t>座</w:t>
            </w:r>
            <w:r>
              <w:rPr>
                <w:rFonts w:ascii="仿宋" w:hAnsi="仿宋" w:eastAsia="仿宋"/>
                <w:b/>
                <w:bCs w:val="0"/>
                <w:color w:val="000000"/>
                <w:sz w:val="24"/>
                <w:szCs w:val="24"/>
                <w:lang w:bidi="ar"/>
              </w:rPr>
              <w:t>）</w:t>
            </w:r>
          </w:p>
        </w:tc>
        <w:tc>
          <w:tcPr>
            <w:tcW w:w="88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270</w:t>
            </w:r>
          </w:p>
        </w:tc>
        <w:tc>
          <w:tcPr>
            <w:tcW w:w="97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360</w:t>
            </w:r>
          </w:p>
        </w:tc>
        <w:tc>
          <w:tcPr>
            <w:tcW w:w="76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w:t>
            </w:r>
          </w:p>
        </w:tc>
        <w:tc>
          <w:tcPr>
            <w:tcW w:w="82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w:t>
            </w:r>
            <w:r>
              <w:rPr>
                <w:rFonts w:hint="eastAsia" w:ascii="仿宋" w:hAnsi="仿宋" w:eastAsia="仿宋"/>
                <w:b/>
                <w:bCs w:val="0"/>
                <w:color w:val="000000"/>
                <w:sz w:val="24"/>
                <w:szCs w:val="24"/>
                <w:lang w:val="en-US" w:eastAsia="zh-CN" w:bidi="ar"/>
              </w:rPr>
              <w:t>08</w:t>
            </w:r>
          </w:p>
        </w:tc>
        <w:tc>
          <w:tcPr>
            <w:tcW w:w="827"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val="en-US" w:eastAsia="zh-CN" w:bidi="ar"/>
              </w:rPr>
              <w:t>162</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150</w:t>
            </w:r>
          </w:p>
        </w:tc>
        <w:tc>
          <w:tcPr>
            <w:tcW w:w="709"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518"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w:t>
            </w:r>
          </w:p>
        </w:tc>
        <w:tc>
          <w:tcPr>
            <w:tcW w:w="2223"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轿车（1.6升，捷达、桑塔纳类似配置）</w:t>
            </w:r>
          </w:p>
        </w:tc>
        <w:tc>
          <w:tcPr>
            <w:tcW w:w="88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162</w:t>
            </w:r>
          </w:p>
        </w:tc>
        <w:tc>
          <w:tcPr>
            <w:tcW w:w="97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234</w:t>
            </w:r>
          </w:p>
        </w:tc>
        <w:tc>
          <w:tcPr>
            <w:tcW w:w="76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w:t>
            </w:r>
          </w:p>
        </w:tc>
        <w:tc>
          <w:tcPr>
            <w:tcW w:w="82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w:t>
            </w:r>
            <w:r>
              <w:rPr>
                <w:rFonts w:hint="eastAsia" w:ascii="仿宋" w:hAnsi="仿宋" w:eastAsia="仿宋"/>
                <w:b/>
                <w:bCs w:val="0"/>
                <w:color w:val="000000"/>
                <w:sz w:val="24"/>
                <w:szCs w:val="24"/>
                <w:lang w:val="en-US" w:eastAsia="zh-CN" w:bidi="ar"/>
              </w:rPr>
              <w:t>08</w:t>
            </w:r>
          </w:p>
        </w:tc>
        <w:tc>
          <w:tcPr>
            <w:tcW w:w="827"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val="en-US" w:eastAsia="zh-CN" w:bidi="ar"/>
              </w:rPr>
              <w:t>162</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150</w:t>
            </w:r>
          </w:p>
        </w:tc>
        <w:tc>
          <w:tcPr>
            <w:tcW w:w="709"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518"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w:t>
            </w:r>
          </w:p>
        </w:tc>
        <w:tc>
          <w:tcPr>
            <w:tcW w:w="2223"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轿车（1.8升，帕萨特、迈腾类似配置）</w:t>
            </w:r>
          </w:p>
        </w:tc>
        <w:tc>
          <w:tcPr>
            <w:tcW w:w="88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252</w:t>
            </w:r>
          </w:p>
        </w:tc>
        <w:tc>
          <w:tcPr>
            <w:tcW w:w="97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342</w:t>
            </w:r>
          </w:p>
        </w:tc>
        <w:tc>
          <w:tcPr>
            <w:tcW w:w="76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w:t>
            </w:r>
          </w:p>
        </w:tc>
        <w:tc>
          <w:tcPr>
            <w:tcW w:w="82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w:t>
            </w:r>
            <w:r>
              <w:rPr>
                <w:rFonts w:hint="eastAsia" w:ascii="仿宋" w:hAnsi="仿宋" w:eastAsia="仿宋"/>
                <w:b/>
                <w:bCs w:val="0"/>
                <w:color w:val="000000"/>
                <w:sz w:val="24"/>
                <w:szCs w:val="24"/>
                <w:lang w:val="en-US" w:eastAsia="zh-CN" w:bidi="ar"/>
              </w:rPr>
              <w:t>08</w:t>
            </w:r>
          </w:p>
        </w:tc>
        <w:tc>
          <w:tcPr>
            <w:tcW w:w="827"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val="en-US" w:eastAsia="zh-CN" w:bidi="ar"/>
              </w:rPr>
              <w:t>162</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150</w:t>
            </w:r>
          </w:p>
        </w:tc>
        <w:tc>
          <w:tcPr>
            <w:tcW w:w="709"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18"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5</w:t>
            </w:r>
          </w:p>
        </w:tc>
        <w:tc>
          <w:tcPr>
            <w:tcW w:w="2223"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商务车（7-9座，别克GL8类似配置）</w:t>
            </w:r>
          </w:p>
        </w:tc>
        <w:tc>
          <w:tcPr>
            <w:tcW w:w="88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270</w:t>
            </w:r>
          </w:p>
        </w:tc>
        <w:tc>
          <w:tcPr>
            <w:tcW w:w="97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360</w:t>
            </w:r>
          </w:p>
        </w:tc>
        <w:tc>
          <w:tcPr>
            <w:tcW w:w="76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1.5</w:t>
            </w:r>
          </w:p>
        </w:tc>
        <w:tc>
          <w:tcPr>
            <w:tcW w:w="82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w:t>
            </w:r>
            <w:r>
              <w:rPr>
                <w:rFonts w:hint="eastAsia" w:ascii="仿宋" w:hAnsi="仿宋" w:eastAsia="仿宋"/>
                <w:b/>
                <w:bCs w:val="0"/>
                <w:color w:val="000000"/>
                <w:sz w:val="24"/>
                <w:szCs w:val="24"/>
                <w:lang w:val="en-US" w:eastAsia="zh-CN" w:bidi="ar"/>
              </w:rPr>
              <w:t>08</w:t>
            </w:r>
          </w:p>
        </w:tc>
        <w:tc>
          <w:tcPr>
            <w:tcW w:w="827"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val="en-US" w:eastAsia="zh-CN" w:bidi="ar"/>
              </w:rPr>
              <w:t>162</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150</w:t>
            </w:r>
          </w:p>
        </w:tc>
        <w:tc>
          <w:tcPr>
            <w:tcW w:w="709"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18"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6</w:t>
            </w:r>
          </w:p>
        </w:tc>
        <w:tc>
          <w:tcPr>
            <w:tcW w:w="2223"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越野车（3.5升，普拉多类似配置）</w:t>
            </w:r>
          </w:p>
        </w:tc>
        <w:tc>
          <w:tcPr>
            <w:tcW w:w="88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495</w:t>
            </w:r>
          </w:p>
        </w:tc>
        <w:tc>
          <w:tcPr>
            <w:tcW w:w="97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720</w:t>
            </w:r>
          </w:p>
        </w:tc>
        <w:tc>
          <w:tcPr>
            <w:tcW w:w="76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2</w:t>
            </w:r>
          </w:p>
        </w:tc>
        <w:tc>
          <w:tcPr>
            <w:tcW w:w="826"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w:t>
            </w:r>
            <w:r>
              <w:rPr>
                <w:rFonts w:hint="eastAsia" w:ascii="仿宋" w:hAnsi="仿宋" w:eastAsia="仿宋"/>
                <w:b/>
                <w:bCs w:val="0"/>
                <w:color w:val="000000"/>
                <w:sz w:val="24"/>
                <w:szCs w:val="24"/>
                <w:lang w:val="en-US" w:eastAsia="zh-CN" w:bidi="ar"/>
              </w:rPr>
              <w:t>08</w:t>
            </w:r>
          </w:p>
        </w:tc>
        <w:tc>
          <w:tcPr>
            <w:tcW w:w="827"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val="en-US" w:eastAsia="zh-CN" w:bidi="ar"/>
              </w:rPr>
              <w:t>162</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150</w:t>
            </w:r>
          </w:p>
        </w:tc>
        <w:tc>
          <w:tcPr>
            <w:tcW w:w="709"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518"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7</w:t>
            </w:r>
          </w:p>
        </w:tc>
        <w:tc>
          <w:tcPr>
            <w:tcW w:w="2223"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客车（10-19座考斯特或类似配置的客车）</w:t>
            </w:r>
          </w:p>
        </w:tc>
        <w:tc>
          <w:tcPr>
            <w:tcW w:w="886"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900</w:t>
            </w:r>
          </w:p>
        </w:tc>
        <w:tc>
          <w:tcPr>
            <w:tcW w:w="97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1080</w:t>
            </w:r>
          </w:p>
        </w:tc>
        <w:tc>
          <w:tcPr>
            <w:tcW w:w="76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5</w:t>
            </w:r>
          </w:p>
        </w:tc>
        <w:tc>
          <w:tcPr>
            <w:tcW w:w="826" w:type="dxa"/>
            <w:noWrap/>
            <w:tcMar>
              <w:top w:w="12" w:type="dxa"/>
              <w:left w:w="12" w:type="dxa"/>
              <w:right w:w="12" w:type="dxa"/>
            </w:tcMar>
            <w:vAlign w:val="center"/>
          </w:tcPr>
          <w:p>
            <w:pPr>
              <w:widowControl/>
              <w:jc w:val="center"/>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bidi="ar"/>
              </w:rPr>
              <w:t>150</w:t>
            </w:r>
          </w:p>
        </w:tc>
        <w:tc>
          <w:tcPr>
            <w:tcW w:w="827" w:type="dxa"/>
            <w:noWrap/>
            <w:tcMar>
              <w:top w:w="12" w:type="dxa"/>
              <w:left w:w="12" w:type="dxa"/>
              <w:right w:w="12" w:type="dxa"/>
            </w:tcMar>
            <w:vAlign w:val="center"/>
          </w:tcPr>
          <w:p>
            <w:pPr>
              <w:widowControl/>
              <w:jc w:val="center"/>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bidi="ar"/>
              </w:rPr>
              <w:t>200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150</w:t>
            </w:r>
          </w:p>
        </w:tc>
        <w:tc>
          <w:tcPr>
            <w:tcW w:w="709"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18"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8</w:t>
            </w:r>
          </w:p>
        </w:tc>
        <w:tc>
          <w:tcPr>
            <w:tcW w:w="2223"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20座（含）-30座（含）客车</w:t>
            </w:r>
          </w:p>
        </w:tc>
        <w:tc>
          <w:tcPr>
            <w:tcW w:w="886"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900</w:t>
            </w:r>
          </w:p>
        </w:tc>
        <w:tc>
          <w:tcPr>
            <w:tcW w:w="97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1080</w:t>
            </w:r>
          </w:p>
        </w:tc>
        <w:tc>
          <w:tcPr>
            <w:tcW w:w="76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3.5</w:t>
            </w:r>
          </w:p>
        </w:tc>
        <w:tc>
          <w:tcPr>
            <w:tcW w:w="826" w:type="dxa"/>
            <w:noWrap/>
            <w:tcMar>
              <w:top w:w="12" w:type="dxa"/>
              <w:left w:w="12" w:type="dxa"/>
              <w:right w:w="12" w:type="dxa"/>
            </w:tcMar>
            <w:vAlign w:val="center"/>
          </w:tcPr>
          <w:p>
            <w:pPr>
              <w:widowControl/>
              <w:jc w:val="center"/>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bidi="ar"/>
              </w:rPr>
              <w:t>150</w:t>
            </w:r>
          </w:p>
        </w:tc>
        <w:tc>
          <w:tcPr>
            <w:tcW w:w="827" w:type="dxa"/>
            <w:noWrap/>
            <w:tcMar>
              <w:top w:w="12" w:type="dxa"/>
              <w:left w:w="12" w:type="dxa"/>
              <w:right w:w="12" w:type="dxa"/>
            </w:tcMar>
            <w:vAlign w:val="center"/>
          </w:tcPr>
          <w:p>
            <w:pPr>
              <w:widowControl/>
              <w:jc w:val="center"/>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bidi="ar"/>
              </w:rPr>
              <w:t>200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150</w:t>
            </w:r>
          </w:p>
        </w:tc>
        <w:tc>
          <w:tcPr>
            <w:tcW w:w="709"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18"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9</w:t>
            </w:r>
          </w:p>
        </w:tc>
        <w:tc>
          <w:tcPr>
            <w:tcW w:w="2223"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31座（含）-39座（含）客车</w:t>
            </w:r>
          </w:p>
        </w:tc>
        <w:tc>
          <w:tcPr>
            <w:tcW w:w="886"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990</w:t>
            </w:r>
          </w:p>
        </w:tc>
        <w:tc>
          <w:tcPr>
            <w:tcW w:w="97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1170</w:t>
            </w:r>
          </w:p>
        </w:tc>
        <w:tc>
          <w:tcPr>
            <w:tcW w:w="76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3.5</w:t>
            </w:r>
          </w:p>
        </w:tc>
        <w:tc>
          <w:tcPr>
            <w:tcW w:w="826" w:type="dxa"/>
            <w:noWrap/>
            <w:tcMar>
              <w:top w:w="12" w:type="dxa"/>
              <w:left w:w="12" w:type="dxa"/>
              <w:right w:w="12" w:type="dxa"/>
            </w:tcMar>
            <w:vAlign w:val="center"/>
          </w:tcPr>
          <w:p>
            <w:pPr>
              <w:widowControl/>
              <w:jc w:val="center"/>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bidi="ar"/>
              </w:rPr>
              <w:t>150</w:t>
            </w:r>
          </w:p>
        </w:tc>
        <w:tc>
          <w:tcPr>
            <w:tcW w:w="827" w:type="dxa"/>
            <w:noWrap/>
            <w:tcMar>
              <w:top w:w="12" w:type="dxa"/>
              <w:left w:w="12" w:type="dxa"/>
              <w:right w:w="12" w:type="dxa"/>
            </w:tcMar>
            <w:vAlign w:val="center"/>
          </w:tcPr>
          <w:p>
            <w:pPr>
              <w:widowControl/>
              <w:jc w:val="center"/>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bidi="ar"/>
              </w:rPr>
              <w:t>200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150</w:t>
            </w:r>
          </w:p>
        </w:tc>
        <w:tc>
          <w:tcPr>
            <w:tcW w:w="709"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518"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10</w:t>
            </w:r>
          </w:p>
        </w:tc>
        <w:tc>
          <w:tcPr>
            <w:tcW w:w="2223"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39座（不含）以上客车</w:t>
            </w:r>
          </w:p>
        </w:tc>
        <w:tc>
          <w:tcPr>
            <w:tcW w:w="886" w:type="dxa"/>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1080</w:t>
            </w:r>
          </w:p>
        </w:tc>
        <w:tc>
          <w:tcPr>
            <w:tcW w:w="97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val="en-US" w:eastAsia="zh-CN" w:bidi="ar"/>
              </w:rPr>
              <w:t>1260</w:t>
            </w:r>
          </w:p>
        </w:tc>
        <w:tc>
          <w:tcPr>
            <w:tcW w:w="765"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w:t>
            </w:r>
          </w:p>
        </w:tc>
        <w:tc>
          <w:tcPr>
            <w:tcW w:w="826" w:type="dxa"/>
            <w:noWrap/>
            <w:tcMar>
              <w:top w:w="12" w:type="dxa"/>
              <w:left w:w="12" w:type="dxa"/>
              <w:right w:w="12" w:type="dxa"/>
            </w:tcMar>
            <w:vAlign w:val="center"/>
          </w:tcPr>
          <w:p>
            <w:pPr>
              <w:widowControl/>
              <w:jc w:val="center"/>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bidi="ar"/>
              </w:rPr>
              <w:t>150</w:t>
            </w:r>
          </w:p>
        </w:tc>
        <w:tc>
          <w:tcPr>
            <w:tcW w:w="827" w:type="dxa"/>
            <w:noWrap/>
            <w:tcMar>
              <w:top w:w="12" w:type="dxa"/>
              <w:left w:w="12" w:type="dxa"/>
              <w:right w:w="12" w:type="dxa"/>
            </w:tcMar>
            <w:vAlign w:val="center"/>
          </w:tcPr>
          <w:p>
            <w:pPr>
              <w:widowControl/>
              <w:jc w:val="center"/>
              <w:rPr>
                <w:rFonts w:hint="default" w:ascii="仿宋" w:hAnsi="仿宋" w:eastAsia="仿宋"/>
                <w:b/>
                <w:bCs w:val="0"/>
                <w:color w:val="000000"/>
                <w:sz w:val="24"/>
                <w:szCs w:val="24"/>
                <w:lang w:val="en-US" w:eastAsia="zh-CN" w:bidi="ar"/>
              </w:rPr>
            </w:pPr>
            <w:r>
              <w:rPr>
                <w:rFonts w:hint="eastAsia" w:ascii="仿宋" w:hAnsi="仿宋" w:eastAsia="仿宋"/>
                <w:b/>
                <w:bCs w:val="0"/>
                <w:color w:val="000000"/>
                <w:sz w:val="24"/>
                <w:szCs w:val="24"/>
                <w:lang w:bidi="ar"/>
              </w:rPr>
              <w:t>200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40</w:t>
            </w:r>
          </w:p>
        </w:tc>
        <w:tc>
          <w:tcPr>
            <w:tcW w:w="584"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150</w:t>
            </w:r>
          </w:p>
        </w:tc>
        <w:tc>
          <w:tcPr>
            <w:tcW w:w="709" w:type="dxa"/>
            <w:noWrap/>
            <w:tcMar>
              <w:top w:w="12" w:type="dxa"/>
              <w:left w:w="12" w:type="dxa"/>
              <w:right w:w="12" w:type="dxa"/>
            </w:tcMar>
            <w:vAlign w:val="center"/>
          </w:tcPr>
          <w:p>
            <w:pPr>
              <w:pageBreakBefore w:val="0"/>
              <w:widowControl/>
              <w:kinsoku/>
              <w:overflowPunct/>
              <w:topLinePunct w:val="0"/>
              <w:bidi w:val="0"/>
              <w:adjustRightInd/>
              <w:spacing w:line="400" w:lineRule="exact"/>
              <w:jc w:val="center"/>
              <w:textAlignment w:val="auto"/>
              <w:rPr>
                <w:rFonts w:ascii="仿宋" w:hAnsi="仿宋" w:eastAsia="仿宋"/>
                <w:b/>
                <w:bCs w:val="0"/>
                <w:color w:val="000000"/>
                <w:sz w:val="24"/>
                <w:szCs w:val="24"/>
                <w:lang w:bidi="ar"/>
              </w:rPr>
            </w:pPr>
            <w:r>
              <w:rPr>
                <w:rFonts w:hint="eastAsia" w:ascii="仿宋" w:hAnsi="仿宋" w:eastAsia="仿宋"/>
                <w:b/>
                <w:bCs w:val="0"/>
                <w:color w:val="000000"/>
                <w:sz w:val="24"/>
                <w:szCs w:val="24"/>
                <w:lang w:bidi="ar"/>
              </w:rPr>
              <w:t>30</w:t>
            </w:r>
          </w:p>
        </w:tc>
      </w:tr>
    </w:tbl>
    <w:p>
      <w:pPr>
        <w:pageBreakBefore w:val="0"/>
        <w:tabs>
          <w:tab w:val="left" w:pos="7665"/>
        </w:tabs>
        <w:kinsoku/>
        <w:overflowPunct/>
        <w:topLinePunct w:val="0"/>
        <w:bidi w:val="0"/>
        <w:adjustRightInd/>
        <w:spacing w:line="4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★备注：</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除驾驶员劳务费外，车辆运行费用、餐费、住宿及驾驶员超过8小时的费用均按实际报价进行结算，</w:t>
      </w:r>
      <w:r>
        <w:rPr>
          <w:rFonts w:hint="eastAsia" w:ascii="仿宋" w:hAnsi="仿宋" w:eastAsia="仿宋" w:cs="仿宋"/>
          <w:sz w:val="24"/>
          <w:szCs w:val="24"/>
          <w:lang w:val="zh-CN"/>
        </w:rPr>
        <w:t>折扣率</w:t>
      </w:r>
      <w:r>
        <w:rPr>
          <w:rFonts w:hint="eastAsia" w:ascii="仿宋" w:hAnsi="仿宋" w:eastAsia="仿宋" w:cs="仿宋"/>
          <w:sz w:val="24"/>
          <w:szCs w:val="24"/>
        </w:rPr>
        <w:t>计算方式：按费用清单及最高单价限价各项金额*报价折扣率据实结算，如清单中“半天基本租车费”为2</w:t>
      </w:r>
      <w:r>
        <w:rPr>
          <w:rFonts w:hint="eastAsia" w:ascii="仿宋" w:hAnsi="仿宋" w:eastAsia="仿宋" w:cs="仿宋"/>
          <w:sz w:val="24"/>
          <w:szCs w:val="24"/>
          <w:lang w:val="en-US" w:eastAsia="zh-CN"/>
        </w:rPr>
        <w:t>0</w:t>
      </w:r>
      <w:r>
        <w:rPr>
          <w:rFonts w:hint="eastAsia" w:ascii="仿宋" w:hAnsi="仿宋" w:eastAsia="仿宋" w:cs="仿宋"/>
          <w:sz w:val="24"/>
          <w:szCs w:val="24"/>
        </w:rPr>
        <w:t>0元，报价折扣为90%，则实际结算金额为2</w:t>
      </w:r>
      <w:r>
        <w:rPr>
          <w:rFonts w:hint="eastAsia" w:ascii="仿宋" w:hAnsi="仿宋" w:eastAsia="仿宋" w:cs="仿宋"/>
          <w:sz w:val="24"/>
          <w:szCs w:val="24"/>
          <w:lang w:val="en-US" w:eastAsia="zh-CN"/>
        </w:rPr>
        <w:t>0</w:t>
      </w:r>
      <w:r>
        <w:rPr>
          <w:rFonts w:hint="eastAsia" w:ascii="仿宋" w:hAnsi="仿宋" w:eastAsia="仿宋" w:cs="仿宋"/>
          <w:sz w:val="24"/>
          <w:szCs w:val="24"/>
        </w:rPr>
        <w:t>0*90%=</w:t>
      </w:r>
      <w:r>
        <w:rPr>
          <w:rFonts w:hint="eastAsia" w:ascii="仿宋" w:hAnsi="仿宋" w:eastAsia="仿宋" w:cs="仿宋"/>
          <w:sz w:val="24"/>
          <w:szCs w:val="24"/>
          <w:lang w:val="en-US" w:eastAsia="zh-CN"/>
        </w:rPr>
        <w:t>180</w:t>
      </w:r>
      <w:r>
        <w:rPr>
          <w:rFonts w:hint="eastAsia" w:ascii="仿宋" w:hAnsi="仿宋" w:eastAsia="仿宋" w:cs="仿宋"/>
          <w:sz w:val="24"/>
          <w:szCs w:val="24"/>
        </w:rPr>
        <w:t>元。</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、（1）</w:t>
      </w:r>
      <w:r>
        <w:rPr>
          <w:rFonts w:hint="eastAsia" w:ascii="仿宋" w:hAnsi="仿宋" w:eastAsia="仿宋" w:cs="仿宋"/>
          <w:sz w:val="24"/>
          <w:szCs w:val="24"/>
          <w:lang w:val="zh-CN"/>
        </w:rPr>
        <w:t>“客车（10座（含）-19（含）座</w:t>
      </w:r>
      <w:r>
        <w:rPr>
          <w:rFonts w:hint="eastAsia" w:ascii="仿宋" w:hAnsi="仿宋" w:eastAsia="仿宋" w:cs="仿宋"/>
          <w:sz w:val="24"/>
          <w:szCs w:val="24"/>
        </w:rPr>
        <w:t>考</w:t>
      </w:r>
      <w:r>
        <w:rPr>
          <w:rFonts w:hint="eastAsia" w:ascii="仿宋" w:hAnsi="仿宋" w:eastAsia="仿宋" w:cs="仿宋"/>
          <w:sz w:val="24"/>
          <w:szCs w:val="24"/>
          <w:lang w:val="zh-CN"/>
        </w:rPr>
        <w:t>斯特或类似配置的客车）”车型</w:t>
      </w:r>
      <w:r>
        <w:rPr>
          <w:rFonts w:hint="eastAsia" w:ascii="仿宋" w:hAnsi="仿宋" w:eastAsia="仿宋" w:cs="仿宋"/>
          <w:sz w:val="24"/>
          <w:szCs w:val="24"/>
        </w:rPr>
        <w:t>租车费用</w:t>
      </w:r>
      <w:r>
        <w:rPr>
          <w:rFonts w:hint="eastAsia" w:ascii="仿宋" w:hAnsi="仿宋" w:eastAsia="仿宋" w:cs="仿宋"/>
          <w:sz w:val="24"/>
          <w:szCs w:val="24"/>
          <w:lang w:val="zh-CN"/>
        </w:rPr>
        <w:t>（</w:t>
      </w:r>
      <w:r>
        <w:rPr>
          <w:rFonts w:hint="eastAsia" w:ascii="仿宋" w:hAnsi="仿宋" w:eastAsia="仿宋" w:cs="仿宋"/>
          <w:sz w:val="24"/>
          <w:szCs w:val="24"/>
        </w:rPr>
        <w:t>半天及全天</w:t>
      </w:r>
      <w:r>
        <w:rPr>
          <w:rFonts w:hint="eastAsia" w:ascii="仿宋" w:hAnsi="仿宋" w:eastAsia="仿宋" w:cs="仿宋"/>
          <w:sz w:val="24"/>
          <w:szCs w:val="24"/>
          <w:lang w:val="zh-CN"/>
        </w:rPr>
        <w:t>）</w:t>
      </w:r>
      <w:r>
        <w:rPr>
          <w:rFonts w:hint="eastAsia" w:ascii="仿宋" w:hAnsi="仿宋" w:eastAsia="仿宋" w:cs="仿宋"/>
          <w:sz w:val="24"/>
          <w:szCs w:val="24"/>
        </w:rPr>
        <w:t>包含</w:t>
      </w:r>
      <w:r>
        <w:rPr>
          <w:rFonts w:hint="eastAsia" w:ascii="仿宋" w:hAnsi="仿宋" w:eastAsia="仿宋" w:cs="仿宋"/>
          <w:sz w:val="24"/>
          <w:szCs w:val="24"/>
          <w:lang w:val="zh-CN"/>
        </w:rPr>
        <w:t>150公里</w:t>
      </w:r>
      <w:r>
        <w:rPr>
          <w:rFonts w:hint="eastAsia" w:ascii="仿宋" w:hAnsi="仿宋" w:eastAsia="仿宋" w:cs="仿宋"/>
          <w:sz w:val="24"/>
          <w:szCs w:val="24"/>
        </w:rPr>
        <w:t>油费，</w:t>
      </w:r>
      <w:r>
        <w:rPr>
          <w:rFonts w:hint="eastAsia" w:ascii="仿宋" w:hAnsi="仿宋" w:eastAsia="仿宋"/>
          <w:sz w:val="24"/>
          <w:szCs w:val="24"/>
        </w:rPr>
        <w:t>每日行驶里程低于150公里的，不再另行支付油费</w:t>
      </w:r>
      <w:r>
        <w:rPr>
          <w:rFonts w:hint="eastAsia" w:ascii="仿宋" w:hAnsi="仿宋" w:eastAsia="仿宋" w:cs="仿宋"/>
          <w:sz w:val="24"/>
          <w:szCs w:val="24"/>
          <w:lang w:val="zh-CN"/>
        </w:rPr>
        <w:t>；“20座（含）-30座（含）客车、31座（含）-39座（含）客车、39座（不含）以上客车”</w:t>
      </w:r>
      <w:r>
        <w:rPr>
          <w:rFonts w:hint="eastAsia" w:ascii="仿宋" w:hAnsi="仿宋" w:eastAsia="仿宋" w:cs="仿宋"/>
          <w:sz w:val="24"/>
          <w:szCs w:val="24"/>
        </w:rPr>
        <w:t>三</w:t>
      </w:r>
      <w:r>
        <w:rPr>
          <w:rFonts w:hint="eastAsia" w:ascii="仿宋" w:hAnsi="仿宋" w:eastAsia="仿宋" w:cs="仿宋"/>
          <w:sz w:val="24"/>
          <w:szCs w:val="24"/>
          <w:lang w:val="zh-CN"/>
        </w:rPr>
        <w:t>种车型</w:t>
      </w:r>
      <w:r>
        <w:rPr>
          <w:rFonts w:hint="eastAsia" w:ascii="仿宋" w:hAnsi="仿宋" w:eastAsia="仿宋" w:cs="仿宋"/>
          <w:sz w:val="24"/>
          <w:szCs w:val="24"/>
        </w:rPr>
        <w:t>租车费用</w:t>
      </w:r>
      <w:r>
        <w:rPr>
          <w:rFonts w:hint="eastAsia" w:ascii="仿宋" w:hAnsi="仿宋" w:eastAsia="仿宋" w:cs="仿宋"/>
          <w:sz w:val="24"/>
          <w:szCs w:val="24"/>
          <w:lang w:val="zh-CN"/>
        </w:rPr>
        <w:t>（</w:t>
      </w:r>
      <w:r>
        <w:rPr>
          <w:rFonts w:hint="eastAsia" w:ascii="仿宋" w:hAnsi="仿宋" w:eastAsia="仿宋" w:cs="仿宋"/>
          <w:sz w:val="24"/>
          <w:szCs w:val="24"/>
        </w:rPr>
        <w:t>半天及全天</w:t>
      </w:r>
      <w:r>
        <w:rPr>
          <w:rFonts w:hint="eastAsia" w:ascii="仿宋" w:hAnsi="仿宋" w:eastAsia="仿宋" w:cs="仿宋"/>
          <w:sz w:val="24"/>
          <w:szCs w:val="24"/>
          <w:lang w:val="zh-CN"/>
        </w:rPr>
        <w:t>）</w:t>
      </w:r>
      <w:r>
        <w:rPr>
          <w:rFonts w:hint="eastAsia" w:ascii="仿宋" w:hAnsi="仿宋" w:eastAsia="仿宋" w:cs="仿宋"/>
          <w:sz w:val="24"/>
          <w:szCs w:val="24"/>
        </w:rPr>
        <w:t>包含</w:t>
      </w:r>
      <w:r>
        <w:rPr>
          <w:rFonts w:hint="eastAsia" w:ascii="仿宋" w:hAnsi="仿宋" w:eastAsia="仿宋" w:cs="仿宋"/>
          <w:sz w:val="24"/>
          <w:szCs w:val="24"/>
          <w:lang w:val="zh-CN"/>
        </w:rPr>
        <w:t>200</w:t>
      </w:r>
      <w:r>
        <w:rPr>
          <w:rFonts w:hint="eastAsia" w:ascii="仿宋" w:hAnsi="仿宋" w:eastAsia="仿宋" w:cs="仿宋"/>
          <w:sz w:val="24"/>
          <w:szCs w:val="24"/>
        </w:rPr>
        <w:t>公里油费，</w:t>
      </w:r>
      <w:r>
        <w:rPr>
          <w:rFonts w:hint="eastAsia" w:ascii="仿宋" w:hAnsi="仿宋" w:eastAsia="仿宋"/>
          <w:sz w:val="24"/>
          <w:szCs w:val="24"/>
        </w:rPr>
        <w:t>每日行驶里程低于200公里的，不再另行支付油费；超过的里程部分，按报价折扣后的油费金额据实进行结算；</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（2）新能源轿车、新能源商务车</w:t>
      </w:r>
      <w:r>
        <w:rPr>
          <w:rFonts w:hint="eastAsia" w:ascii="仿宋" w:hAnsi="仿宋" w:eastAsia="仿宋" w:cs="仿宋"/>
          <w:sz w:val="24"/>
          <w:szCs w:val="24"/>
          <w:lang w:val="zh-CN"/>
        </w:rPr>
        <w:t>车型</w:t>
      </w:r>
      <w:r>
        <w:rPr>
          <w:rFonts w:hint="eastAsia" w:ascii="仿宋" w:hAnsi="仿宋" w:eastAsia="仿宋" w:cs="仿宋"/>
          <w:sz w:val="24"/>
          <w:szCs w:val="24"/>
        </w:rPr>
        <w:t>租车费用半天基本租车费应至少包含200公里里程，全天基本租车费应至少包含3</w:t>
      </w:r>
      <w:r>
        <w:rPr>
          <w:rFonts w:ascii="仿宋" w:hAnsi="仿宋" w:eastAsia="仿宋" w:cs="仿宋"/>
          <w:sz w:val="24"/>
          <w:szCs w:val="24"/>
        </w:rPr>
        <w:t>50</w:t>
      </w:r>
      <w:r>
        <w:rPr>
          <w:rFonts w:hint="eastAsia" w:ascii="仿宋" w:hAnsi="仿宋" w:eastAsia="仿宋" w:cs="仿宋"/>
          <w:sz w:val="24"/>
          <w:szCs w:val="24"/>
        </w:rPr>
        <w:t>公里里程，提供新能源车辆时，应当确保电量充足，超出的里程不再支付额外电费，按照价目表中包干价为基准进行结算。</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、半天费用系指自订单开始后4小时内（包含）；</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、全天费用系指自订单开始后4小时以上；</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、车辆运行费用已包含车辆使用费、车辆维修费、车辆保养费、车辆救援费、驾乘人员保险、燃油费（电费）、税金等费用；</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、过路过桥费、停车费等结算费用，根据实际发生金额实报实销；采购人已安排驾驶员食宿的，不再支付驾驶员餐费和住宿费。</w:t>
      </w:r>
    </w:p>
    <w:p>
      <w:pPr>
        <w:pageBreakBefore w:val="0"/>
        <w:kinsoku/>
        <w:overflowPunct/>
        <w:topLinePunct w:val="0"/>
        <w:bidi w:val="0"/>
        <w:adjustRightInd/>
        <w:spacing w:line="400" w:lineRule="exact"/>
        <w:ind w:firstLine="480" w:firstLineChars="200"/>
        <w:jc w:val="left"/>
        <w:textAlignment w:val="auto"/>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、驾驶员劳务费（8小时内）为固定金额，不参与折扣结算，采购人将根据实际驾驶时长向供应商进行结算支付。驾驶员超时工作要求每天最多不超过10小时；</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、10座以上客车必须配备驾驶员，采用包车服务的形式为采购人提供服务。</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b/>
          <w:bCs/>
          <w:sz w:val="24"/>
          <w:szCs w:val="24"/>
        </w:rPr>
      </w:pPr>
      <w:r>
        <w:rPr>
          <w:rFonts w:hint="eastAsia" w:ascii="仿宋" w:hAnsi="仿宋" w:eastAsia="仿宋"/>
          <w:sz w:val="24"/>
          <w:szCs w:val="24"/>
        </w:rPr>
        <w:t>★</w:t>
      </w:r>
      <w:r>
        <w:rPr>
          <w:rFonts w:hint="eastAsia" w:ascii="仿宋" w:hAnsi="仿宋" w:eastAsia="仿宋"/>
          <w:b/>
          <w:bCs/>
          <w:sz w:val="24"/>
          <w:szCs w:val="24"/>
        </w:rPr>
        <w:t>（三）车辆要求</w:t>
      </w:r>
    </w:p>
    <w:p>
      <w:pPr>
        <w:pageBreakBefore w:val="0"/>
        <w:numPr>
          <w:ilvl w:val="0"/>
          <w:numId w:val="1"/>
        </w:numPr>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供应商承诺为采购人提供的车辆须按《中华人民共和国道路交通安全法》要求，符合国家车辆安全行驶技术标准并按期审验合格。满足采购人跨省、市用车需求（提供承诺函）。</w:t>
      </w:r>
    </w:p>
    <w:p>
      <w:pPr>
        <w:pageBreakBefore w:val="0"/>
        <w:numPr>
          <w:ilvl w:val="0"/>
          <w:numId w:val="1"/>
        </w:numPr>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供应商应为车辆依法投全各类保险，并承担全部保险费用；承租的车辆发生保险事故时，由供应商负责索赔事宜，并承担相应法律责任。</w:t>
      </w:r>
    </w:p>
    <w:p>
      <w:pPr>
        <w:pageBreakBefore w:val="0"/>
        <w:numPr>
          <w:ilvl w:val="0"/>
          <w:numId w:val="1"/>
        </w:numPr>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供应商针对本项目包1应至少具备车辆：10座（不含）以下大于等于2</w:t>
      </w:r>
      <w:r>
        <w:rPr>
          <w:rFonts w:hint="eastAsia" w:ascii="仿宋" w:hAnsi="仿宋" w:eastAsia="仿宋"/>
          <w:sz w:val="24"/>
          <w:szCs w:val="24"/>
          <w:lang w:val="zh-CN"/>
        </w:rPr>
        <w:t>0台，</w:t>
      </w:r>
      <w:r>
        <w:rPr>
          <w:rFonts w:hint="eastAsia" w:ascii="仿宋" w:hAnsi="仿宋" w:eastAsia="仿宋"/>
          <w:sz w:val="24"/>
          <w:szCs w:val="24"/>
        </w:rPr>
        <w:t>10座（含）以上大于等于</w:t>
      </w:r>
      <w:r>
        <w:rPr>
          <w:rFonts w:hint="eastAsia" w:ascii="仿宋" w:hAnsi="仿宋" w:eastAsia="仿宋"/>
          <w:sz w:val="24"/>
          <w:szCs w:val="24"/>
          <w:lang w:val="zh-CN"/>
        </w:rPr>
        <w:t>40台车；</w:t>
      </w:r>
      <w:r>
        <w:rPr>
          <w:rFonts w:hint="eastAsia" w:ascii="仿宋" w:hAnsi="仿宋" w:eastAsia="仿宋"/>
          <w:sz w:val="24"/>
          <w:szCs w:val="24"/>
        </w:rPr>
        <w:t>针对本项目包2应具备车辆：10座（不含）以下大于等于1</w:t>
      </w:r>
      <w:r>
        <w:rPr>
          <w:rFonts w:hint="eastAsia" w:ascii="仿宋" w:hAnsi="仿宋" w:eastAsia="仿宋"/>
          <w:sz w:val="24"/>
          <w:szCs w:val="24"/>
          <w:lang w:val="zh-CN"/>
        </w:rPr>
        <w:t>0台，</w:t>
      </w:r>
      <w:r>
        <w:rPr>
          <w:rFonts w:hint="eastAsia" w:ascii="仿宋" w:hAnsi="仿宋" w:eastAsia="仿宋"/>
          <w:sz w:val="24"/>
          <w:szCs w:val="24"/>
        </w:rPr>
        <w:t>10座（含）以上大于等于2</w:t>
      </w:r>
      <w:r>
        <w:rPr>
          <w:rFonts w:hint="eastAsia" w:ascii="仿宋" w:hAnsi="仿宋" w:eastAsia="仿宋"/>
          <w:sz w:val="24"/>
          <w:szCs w:val="24"/>
          <w:lang w:val="zh-CN"/>
        </w:rPr>
        <w:t>0台车。（所有</w:t>
      </w:r>
      <w:r>
        <w:rPr>
          <w:rFonts w:hint="eastAsia" w:ascii="仿宋" w:hAnsi="仿宋" w:eastAsia="仿宋"/>
          <w:sz w:val="24"/>
          <w:szCs w:val="24"/>
        </w:rPr>
        <w:t>车辆需提供相应行驶证或承诺函。）</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4、车辆综合性能、技术等级必须达到最新的行业标准和规范，严格遵守国家相关管理文件和制度。</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5、车辆应年检合格、证照齐全、车况良好、无车身广告，各项设施设备及使用功能正常，近五年未发生过重大交通安全事故，投入本项目使用的所有车辆应符合国家及行业标准。</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6、车辆应购买有完备的车辆保险，包括交强险、商业险，其中商业险至少包括以下险种：车损险、车上人员责任险、座位险（座位险不低于5万元/座）、第三者责任险（保额不低于100 万元）、盗抢险、基本险不计免赔特约条款等，保险费用由供应商承担；若供应商在合同履行过程中并未向保险公司投保或因驾驶员如酒驾等违法行为致使发生保险事故后无法向保险公司要求赔付，则由供应商承担全部责任和赔偿；若超出保险公司赔付金额，则超出部分赔偿金额由供应商承担。</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7、确保能够满足采购人合理用车需求，能够满足采购人不定时使用车辆类型、车辆数量等要求。</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8、车辆在行车前需按照相关规定和要求进行保养、检测、维修，确保采购人正常使用。如发生影响车辆使用的状况时，供应商需及时进行车辆救援，并根据采购人要求为采购人更换可正常使用的车辆，保障采购人用车的安全及使用。</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9、确保车容整洁、车况良好，车载空调运行正常。</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10、车辆配备相应的专用工具包和必要的维修工具、有效的车用灭火器、</w:t>
      </w:r>
      <w:r>
        <w:rPr>
          <w:rFonts w:hint="eastAsia" w:ascii="仿宋" w:hAnsi="仿宋" w:eastAsia="仿宋"/>
          <w:color w:val="000000" w:themeColor="text1"/>
          <w:sz w:val="24"/>
          <w:szCs w:val="24"/>
          <w14:textFill>
            <w14:solidFill>
              <w14:schemeClr w14:val="tx1"/>
            </w14:solidFill>
          </w14:textFill>
        </w:rPr>
        <w:t>安全锤、故障车警示标志牌等设施设备，配备备用轮胎。</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11、驾驶员要求</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驾驶员须身体健康（不得有传染性疾病）、能适应工作条件的要求，品行端正，具有与所驾驶车辆相匹配的驾照，驾驶员年龄符合国家相关法律规定，经验丰富，有5年以上驾驶经历且无重大及以上道路交通责任事故记录，服务过程中选择最优和最快的路线接送客户，并保证采购人的人身和财产安全。</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（2）符合国家营运有关规定，严格遵守道路交通法律法规及相关规定。</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严禁“超载、超速、超疲劳”驾车和酒后、服用国家管制的精神药品或者麻醉药品、患有妨碍安全驾驶的疾病驾车。未曾受过刑事处罚或因交通违法行为在一个记分周期驾照被扣满12分或以上。</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（3）不开情绪车、不开冒险车、不开急躁车、不接受打手持电话、不抽烟、不吃东西、不与他人闲谈。</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（4）应严格按照采购人行车计划提供服务，服从采购人做出的行车计划安排。未经采购人同意，不得搭乘他人。当驾驶员因生病等原因不能为采购人提供服务时，供应商应及时更换驾驶员。</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（5）做好车辆例行保养和清洁工作，认真填写车辆行驶记录，如实反映行车途中的安全问题，检查车内的安全设施、设备，及时保修车辆故障。</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（6）安全行驶意识强、操作规范、技术过硬。</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（7）熟悉成都市路况和四川省主要交通干道路况。</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（8）有良好职业道德和服务态度、礼貌待人，主动服务意识强。</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12、服务流程</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采购人提前1天向供应商预定车辆。供应商接单后立即安排用车事宜，并通过传真、邮件、短信、微信等书面形式向采购人租车人员发送本次租赁（包车）结算方式、调派的车辆等相关信息，并填写《车辆调派单》，供应商须在接到采购人用车计划4小时内通过传真、邮件、短信、微信等书面形式向采购人租车人员回复确认，由采购人车辆服务管理人员签字确认。</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(2)供应商按照要求为采购人提供车辆服务，并及时填写《行程确认单和用车评价表》，车辆服务结束时，由采购人工作人员签字确认。</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(3)供应商定期汇总采购人包车、租赁事项，并与采购人核对相关情况。</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(4)供应商向采购人提出结算申请，采购人按合同约定支付相关费用。</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13、服务要求</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（1）采购人在合同期间享受无需担保、无需押金等租赁（包车）服务。</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（2）供应商在单次服务结束时，应填写《行程确认单》并经采购人签字确认。供应商定期填写《汽车包车（租赁）对账单》与采购人核对包车（租赁）情况。</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3）本项目服务期内，车辆的维修及保养均由供应商负责，所产生的费用由供应商承担；供应商按照规定对服务车辆进行周期性技术维护，包括日常维护、一级维护、二级维护。自行实施部分技术维护项目的，应由持有相应职业资格证书的人员进行操作和检验。</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（4）供应商须为本项目配备专职安全质检员、维修保养团队、调度人员。</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（5）供应商不得收取服务车辆接送费用，并与采购人共同制定车辆包车、租赁流程。</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（6）供应商应及时处理采购人提出的各项建议或投诉，并落实整改。</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（7）供应商接到用车需求后，应在30分钟内响应。</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（8）服务车辆在约定时间提前至少10分钟到位。</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（9）供应商出车需合理调度，避免司机疲劳驾驶。</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10）供应商认真执行国家的各项安全方针、政策，严格遵守《中华人民共和国道路交通安全法》《中华人民共和国安全生产法》《四川省生产经营单位安全生产责任规定》和《四川省交通厅关于贯彻落实省政府办公厅四川省道路旅客运输驾驶员安全行为规范的通知》等法律、法规，为保证公路客运交通安全，杜绝交通事故的发生。</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（11）合同履行期间，采购人行程需发生变动时，及时通知供应商，并协商确定变动后的车辆费用。</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（12）采购人有权对供应商的合同价格、服务承诺等履约情况进行监督检查，并追究供应商的违约责任。</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（13）供应商应严格遵守国家法律、法规和相关规定，诚实、守信，合法经营，自觉维护采购人的利益，全面履行承诺，自觉接受采购人监督检查和管理，确保高标准服务质量。</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14）如供应商服务过程中对采购人造成伤害或损失，供应商应根据《中华人民共和国保险法》及相关政策规定对采购人进行赔偿。若承租的车辆发生保险事故时，由供应商负责处理，并承担相关责任。供应商不得限制服务车辆保险理赔次数。</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15）供应商应保证为本项目配备的联系人、联系电话、预订电话真实有效，供应商的名称、地址等发生变化时，要及时书面通知采购人，如果未能及时书面通知采购人，给采购人工作造成的影响及损失由供应商承担。</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供应商驾驶员应严格按照采购人行车计划提供服务，服从采购人做出的行车计划安排。未经采购人同意，驾驶员不得搭乘他人。当驾驶员因生病等原因不能为采购人提供服务时，供应商应及时更换驾驶员。执行长途用车时，应按公安部、交通部的有关规定执行。</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（16）供应商不得私自改变行驶线路（除特殊情况外），不得索要“小费”或提出无理要求，不得有违反行业规范和职业道德的行为。</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（17）驾驶员应携带驾驶证、身份证等，并保持通讯畅通，按时间要求提前到达指定地点等候。在服务过程中着公司统一制服，不随意停车、接听电话，不吸烟。为采购人人员开车门、装卸行李，并使用</w:t>
      </w:r>
      <w:r>
        <w:rPr>
          <w:rFonts w:hint="eastAsia" w:ascii="仿宋" w:hAnsi="仿宋" w:eastAsia="仿宋"/>
          <w:sz w:val="24"/>
          <w:szCs w:val="24"/>
          <w:lang w:val="zh-CN"/>
        </w:rPr>
        <w:t>“您好”“再</w:t>
      </w:r>
      <w:r>
        <w:rPr>
          <w:rFonts w:hint="eastAsia" w:ascii="仿宋" w:hAnsi="仿宋" w:eastAsia="仿宋"/>
          <w:sz w:val="24"/>
          <w:szCs w:val="24"/>
        </w:rPr>
        <w:t>见”等普通话礼貌用语。</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18）车辆运行过程中，供应商驾驶员应自觉守法遵规，不开违章车，杜绝疲劳驾驶、酒后驾驶、超载行驶、超速行驶；驾驶时做到无不良嗜好，并严禁在驾驶过程中吸烟，着装整洁，用语礼貌，待客热忱；每日保持车辆内外清洁，并根据合理要求提前使用空调；在用车过程中配合采购人的工作。</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19）供应商驾驶员有义务提醒采购人人员，保管好随身携带的贵重物品，以免发生丢失。供应商驾驶员有义务检查车门及后备厢是否锁好，以保证采购人人员物品安全。服务结束时，供应商驾驶员有义务提醒采购人人员携带行李物品。</w:t>
      </w:r>
    </w:p>
    <w:bookmarkEnd w:id="10"/>
    <w:bookmarkEnd w:id="11"/>
    <w:bookmarkEnd w:id="12"/>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（20）供应商应确保车辆及随车设施（话筒、影视播放机、空调、窗帘、座椅、垃圾袋等）完好，使用正常。</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21）供应商擅自提高租车价格，增加收费项目，不履行响应服务承诺的；未按采购人要求购买保险或提供车辆不符合国家相关要求的；给予采购人所属用车单位或个人代为报销其它费用或虚开发票的；有其他违反采购合同规定行为的；采购人有权要求其整改，未按要求整改或整改不到位，采购人有权单方面终止采购合同。</w:t>
      </w:r>
      <w:bookmarkStart w:id="15" w:name="_Toc9512"/>
      <w:bookmarkEnd w:id="15"/>
      <w:bookmarkStart w:id="16" w:name="_Toc29248"/>
      <w:bookmarkEnd w:id="16"/>
      <w:bookmarkStart w:id="17" w:name="_Toc22470"/>
      <w:bookmarkEnd w:id="17"/>
      <w:bookmarkStart w:id="18" w:name="_Toc15377"/>
      <w:bookmarkEnd w:id="18"/>
      <w:bookmarkStart w:id="19" w:name="_Toc14993"/>
      <w:bookmarkEnd w:id="19"/>
    </w:p>
    <w:p>
      <w:pPr>
        <w:pageBreakBefore w:val="0"/>
        <w:numPr>
          <w:ilvl w:val="0"/>
          <w:numId w:val="0"/>
        </w:numPr>
        <w:kinsoku/>
        <w:overflowPunct/>
        <w:topLinePunct w:val="0"/>
        <w:bidi w:val="0"/>
        <w:adjustRightInd/>
        <w:spacing w:line="360" w:lineRule="auto"/>
        <w:textAlignment w:val="auto"/>
        <w:rPr>
          <w:rFonts w:hint="eastAsia" w:ascii="仿宋" w:hAnsi="仿宋" w:eastAsia="仿宋" w:cs="仿宋"/>
          <w:b/>
          <w:bCs/>
          <w:lang w:val="en-US" w:eastAsia="zh-CN"/>
        </w:rPr>
      </w:pPr>
      <w:bookmarkStart w:id="20" w:name="_Toc18406"/>
      <w:r>
        <w:rPr>
          <w:rFonts w:hint="eastAsia" w:ascii="仿宋" w:hAnsi="仿宋" w:eastAsia="仿宋" w:cs="仿宋"/>
          <w:b/>
          <w:bCs/>
          <w:lang w:val="en-US" w:eastAsia="zh-CN"/>
        </w:rPr>
        <w:t>五、商务要求</w:t>
      </w:r>
      <w:bookmarkEnd w:id="20"/>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（一）项目履约时间、地点：</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1.项目履约时间：自合同签订之日起365日。</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 xml:space="preserve">2.项目履约地点：采购人指定位置。 </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（二）付款方式：</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根据实际用车情况，每两月据实结算一次，由采购人向中标供应商支付服务费用。</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（三）违约处理及处理方式</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1、违约处理：违反合同条款视为违约，供应商违约，赔偿相应损失的同时支付违约金，同时保留追究相关法律责任。任何一方违约，违约方支付守约方合同总价2%的违约金。</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2、双方如发生纠纷，先行协商解决，协商不成，提请项目所在地人民法院提起诉讼。</w:t>
      </w:r>
    </w:p>
    <w:p>
      <w:pPr>
        <w:pStyle w:val="3"/>
        <w:pageBreakBefore w:val="0"/>
        <w:kinsoku/>
        <w:overflowPunct/>
        <w:topLinePunct w:val="0"/>
        <w:bidi w:val="0"/>
        <w:adjustRightInd/>
        <w:spacing w:line="400" w:lineRule="exact"/>
        <w:textAlignment w:val="auto"/>
        <w:rPr>
          <w:rFonts w:ascii="仿宋" w:hAnsi="仿宋" w:eastAsia="仿宋"/>
          <w:sz w:val="24"/>
          <w:szCs w:val="24"/>
        </w:rPr>
      </w:pPr>
      <w:r>
        <w:rPr>
          <w:rFonts w:hint="eastAsia" w:ascii="仿宋" w:hAnsi="仿宋" w:eastAsia="仿宋"/>
          <w:sz w:val="24"/>
          <w:szCs w:val="24"/>
        </w:rPr>
        <w:t xml:space="preserve">   （四）安全要求</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供应商服务从业人员应具有所驾驶车辆相应驾照，保证行车中遵守交通规章，注意行驶安全，如遇交通违章和事故，由中标供应商承担所有责任；供应商服务从业人员在服务期间发生伤亡事故，责任由供应商承担。</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（四）验收方法和标准</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1）验收组织方式：自行验收</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2）是否邀请本项目的其他供应商：否</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3）是否邀请专家：否</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4）是否邀请服务对象：否</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5）是否邀请第三方检测机构：否</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6）履约验收程序：一次性验收</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7）验收组织的其他事项：按合同约定组织验收。</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8）技术履约验收内容：按招投标文件及合同约定的技术条款进行验收。</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9）商务履约验收内容：按招投标文件及合同约定的商务条款进行验收。</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10）履约验收标准：按招投标文件及合同约定的相关条款进行验收。</w:t>
      </w:r>
    </w:p>
    <w:p>
      <w:pPr>
        <w:pageBreakBefore w:val="0"/>
        <w:tabs>
          <w:tab w:val="left" w:pos="7665"/>
        </w:tabs>
        <w:kinsoku/>
        <w:overflowPunct/>
        <w:topLinePunct w:val="0"/>
        <w:bidi w:val="0"/>
        <w:adjustRightIn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11）履约验收其他事项：按招投标文件及合同约定处理。</w:t>
      </w:r>
    </w:p>
    <w:p>
      <w:pPr>
        <w:pageBreakBefore w:val="0"/>
        <w:kinsoku/>
        <w:overflowPunct/>
        <w:topLinePunct w:val="0"/>
        <w:bidi w:val="0"/>
        <w:adjustRightInd/>
        <w:spacing w:line="400" w:lineRule="exact"/>
        <w:textAlignment w:val="auto"/>
        <w:rPr>
          <w:rFonts w:hint="eastAsia" w:ascii="仿宋" w:hAnsi="仿宋" w:eastAsia="仿宋" w:cs="仿宋"/>
          <w:b/>
          <w:bCs/>
          <w:lang w:val="en-US" w:eastAsia="zh-CN"/>
        </w:rPr>
      </w:pPr>
      <w:bookmarkStart w:id="21" w:name="_Toc217446103"/>
      <w:bookmarkEnd w:id="21"/>
      <w:bookmarkStart w:id="22" w:name="_Hlt101846155"/>
      <w:bookmarkEnd w:id="22"/>
      <w:bookmarkStart w:id="23" w:name="_Toc4878"/>
      <w:bookmarkStart w:id="24" w:name="_Toc217446099"/>
      <w:r>
        <w:rPr>
          <w:rFonts w:hint="eastAsia" w:ascii="仿宋" w:hAnsi="仿宋" w:eastAsia="仿宋" w:cs="仿宋"/>
          <w:b/>
          <w:bCs/>
          <w:lang w:val="en-US" w:eastAsia="zh-CN"/>
        </w:rPr>
        <w:t>六、评标细则及标准</w:t>
      </w:r>
      <w:bookmarkEnd w:id="23"/>
    </w:p>
    <w:p>
      <w:pPr>
        <w:pageBreakBefore w:val="0"/>
        <w:kinsoku/>
        <w:overflowPunct/>
        <w:topLinePunct w:val="0"/>
        <w:bidi w:val="0"/>
        <w:adjustRightInd/>
        <w:spacing w:line="400" w:lineRule="exact"/>
        <w:textAlignment w:val="auto"/>
        <w:rPr>
          <w:rFonts w:hAnsi="宋体"/>
          <w:b/>
          <w:color w:val="000000"/>
          <w:sz w:val="24"/>
          <w:szCs w:val="24"/>
        </w:rPr>
      </w:pPr>
      <w:bookmarkStart w:id="25" w:name="_Toc217446060"/>
    </w:p>
    <w:tbl>
      <w:tblPr>
        <w:tblStyle w:val="4"/>
        <w:tblW w:w="9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259"/>
        <w:gridCol w:w="863"/>
        <w:gridCol w:w="6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713" w:type="dxa"/>
            <w:vAlign w:val="center"/>
          </w:tcPr>
          <w:p>
            <w:pPr>
              <w:pageBreakBefore w:val="0"/>
              <w:kinsoku/>
              <w:overflowPunct/>
              <w:topLinePunct w:val="0"/>
              <w:bidi w:val="0"/>
              <w:adjustRightInd/>
              <w:spacing w:line="400" w:lineRule="exact"/>
              <w:jc w:val="center"/>
              <w:textAlignment w:val="auto"/>
              <w:rPr>
                <w:rFonts w:hAnsi="宋体"/>
                <w:b/>
                <w:bCs/>
                <w:sz w:val="24"/>
                <w:szCs w:val="24"/>
              </w:rPr>
            </w:pPr>
            <w:r>
              <w:rPr>
                <w:rFonts w:hint="eastAsia" w:hAnsi="宋体"/>
                <w:b/>
                <w:bCs/>
                <w:sz w:val="24"/>
                <w:szCs w:val="24"/>
              </w:rPr>
              <w:t>序号</w:t>
            </w:r>
          </w:p>
        </w:tc>
        <w:tc>
          <w:tcPr>
            <w:tcW w:w="1259" w:type="dxa"/>
            <w:vAlign w:val="center"/>
          </w:tcPr>
          <w:p>
            <w:pPr>
              <w:pageBreakBefore w:val="0"/>
              <w:kinsoku/>
              <w:overflowPunct/>
              <w:topLinePunct w:val="0"/>
              <w:bidi w:val="0"/>
              <w:adjustRightInd/>
              <w:spacing w:line="400" w:lineRule="exact"/>
              <w:jc w:val="center"/>
              <w:textAlignment w:val="auto"/>
              <w:rPr>
                <w:rFonts w:hAnsi="宋体"/>
                <w:b/>
                <w:bCs/>
                <w:sz w:val="24"/>
                <w:szCs w:val="24"/>
              </w:rPr>
            </w:pPr>
            <w:r>
              <w:rPr>
                <w:rFonts w:hint="eastAsia" w:hAnsi="宋体"/>
                <w:b/>
                <w:bCs/>
                <w:sz w:val="24"/>
                <w:szCs w:val="24"/>
              </w:rPr>
              <w:t>评分</w:t>
            </w:r>
          </w:p>
          <w:p>
            <w:pPr>
              <w:pageBreakBefore w:val="0"/>
              <w:kinsoku/>
              <w:overflowPunct/>
              <w:topLinePunct w:val="0"/>
              <w:bidi w:val="0"/>
              <w:adjustRightInd/>
              <w:spacing w:line="400" w:lineRule="exact"/>
              <w:jc w:val="center"/>
              <w:textAlignment w:val="auto"/>
              <w:rPr>
                <w:rFonts w:hAnsi="宋体"/>
                <w:b/>
                <w:bCs/>
                <w:sz w:val="24"/>
                <w:szCs w:val="24"/>
              </w:rPr>
            </w:pPr>
            <w:r>
              <w:rPr>
                <w:rFonts w:hint="eastAsia" w:hAnsi="宋体"/>
                <w:b/>
                <w:bCs/>
                <w:sz w:val="24"/>
                <w:szCs w:val="24"/>
              </w:rPr>
              <w:t>因素</w:t>
            </w:r>
          </w:p>
        </w:tc>
        <w:tc>
          <w:tcPr>
            <w:tcW w:w="863" w:type="dxa"/>
            <w:vAlign w:val="center"/>
          </w:tcPr>
          <w:p>
            <w:pPr>
              <w:pageBreakBefore w:val="0"/>
              <w:kinsoku/>
              <w:overflowPunct/>
              <w:topLinePunct w:val="0"/>
              <w:bidi w:val="0"/>
              <w:adjustRightInd/>
              <w:spacing w:line="400" w:lineRule="exact"/>
              <w:jc w:val="center"/>
              <w:textAlignment w:val="auto"/>
              <w:rPr>
                <w:rFonts w:hAnsi="宋体"/>
                <w:b/>
                <w:bCs/>
                <w:sz w:val="24"/>
                <w:szCs w:val="24"/>
              </w:rPr>
            </w:pPr>
            <w:r>
              <w:rPr>
                <w:rFonts w:hint="eastAsia" w:hAnsi="宋体"/>
                <w:b/>
                <w:bCs/>
                <w:sz w:val="24"/>
                <w:szCs w:val="24"/>
              </w:rPr>
              <w:t>分值</w:t>
            </w:r>
          </w:p>
        </w:tc>
        <w:tc>
          <w:tcPr>
            <w:tcW w:w="6685" w:type="dxa"/>
            <w:vAlign w:val="center"/>
          </w:tcPr>
          <w:p>
            <w:pPr>
              <w:pageBreakBefore w:val="0"/>
              <w:kinsoku/>
              <w:overflowPunct/>
              <w:topLinePunct w:val="0"/>
              <w:bidi w:val="0"/>
              <w:adjustRightInd/>
              <w:spacing w:line="400" w:lineRule="exact"/>
              <w:ind w:firstLine="422"/>
              <w:jc w:val="center"/>
              <w:textAlignment w:val="auto"/>
              <w:rPr>
                <w:rFonts w:hAnsi="宋体"/>
                <w:b/>
                <w:bCs/>
                <w:sz w:val="24"/>
                <w:szCs w:val="24"/>
              </w:rPr>
            </w:pPr>
            <w:r>
              <w:rPr>
                <w:rFonts w:hint="eastAsia" w:hAnsi="宋体"/>
                <w:b/>
                <w:bCs/>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jc w:val="center"/>
        </w:trPr>
        <w:tc>
          <w:tcPr>
            <w:tcW w:w="713"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1</w:t>
            </w:r>
          </w:p>
        </w:tc>
        <w:tc>
          <w:tcPr>
            <w:tcW w:w="1259"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报价</w:t>
            </w:r>
          </w:p>
        </w:tc>
        <w:tc>
          <w:tcPr>
            <w:tcW w:w="863"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40分</w:t>
            </w:r>
          </w:p>
        </w:tc>
        <w:tc>
          <w:tcPr>
            <w:tcW w:w="6685"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以通过资格和符合性审查的供应商中的最低报价为评审基准折扣率，其价格分为满分40分。其他供应商的价格分统一按照下列公式计算：报价得分=(评审基准折扣率／投标折扣率)×40，保留两位小数。</w:t>
            </w:r>
          </w:p>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报价得分保留两位小数，四舍五入。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713" w:type="dxa"/>
            <w:vAlign w:val="center"/>
          </w:tcPr>
          <w:p>
            <w:pPr>
              <w:pageBreakBefore w:val="0"/>
              <w:kinsoku/>
              <w:overflowPunct/>
              <w:topLinePunct w:val="0"/>
              <w:bidi w:val="0"/>
              <w:adjustRightInd/>
              <w:spacing w:line="400" w:lineRule="exact"/>
              <w:jc w:val="left"/>
              <w:textAlignment w:val="auto"/>
              <w:rPr>
                <w:rFonts w:hAnsi="宋体"/>
                <w:color w:val="FF0000"/>
                <w:sz w:val="24"/>
                <w:szCs w:val="24"/>
              </w:rPr>
            </w:pPr>
            <w:r>
              <w:rPr>
                <w:rFonts w:hint="eastAsia" w:hAnsi="宋体"/>
                <w:color w:val="000000" w:themeColor="text1"/>
                <w:sz w:val="24"/>
                <w:szCs w:val="24"/>
                <w14:textFill>
                  <w14:solidFill>
                    <w14:schemeClr w14:val="tx1"/>
                  </w14:solidFill>
                </w14:textFill>
              </w:rPr>
              <w:t>2</w:t>
            </w:r>
          </w:p>
        </w:tc>
        <w:tc>
          <w:tcPr>
            <w:tcW w:w="1259"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服务方案</w:t>
            </w:r>
          </w:p>
        </w:tc>
        <w:tc>
          <w:tcPr>
            <w:tcW w:w="863"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18分</w:t>
            </w:r>
          </w:p>
        </w:tc>
        <w:tc>
          <w:tcPr>
            <w:tcW w:w="6685"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投标人根据本项目提供的服务方案进行评审，内容包括：</w:t>
            </w:r>
          </w:p>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1、车辆及配套设备工具的维护管理；</w:t>
            </w:r>
          </w:p>
          <w:p>
            <w:pPr>
              <w:pageBreakBefore w:val="0"/>
              <w:kinsoku/>
              <w:overflowPunct/>
              <w:topLinePunct w:val="0"/>
              <w:bidi w:val="0"/>
              <w:adjustRightInd/>
              <w:spacing w:line="400" w:lineRule="exact"/>
              <w:textAlignment w:val="auto"/>
              <w:rPr>
                <w:rFonts w:ascii="仿宋" w:hAnsi="仿宋" w:eastAsia="仿宋" w:cs="仿宋"/>
                <w:sz w:val="21"/>
                <w:szCs w:val="21"/>
              </w:rPr>
            </w:pPr>
            <w:r>
              <w:rPr>
                <w:rFonts w:hint="eastAsia" w:ascii="仿宋" w:hAnsi="仿宋" w:eastAsia="仿宋" w:cs="仿宋"/>
                <w:sz w:val="21"/>
                <w:szCs w:val="21"/>
              </w:rPr>
              <w:t>2、日常服务方案；</w:t>
            </w:r>
          </w:p>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3、及时完成交通服务的保障措施；</w:t>
            </w:r>
          </w:p>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4、车辆及人员调配方案及行车途中的安全防范措施；</w:t>
            </w:r>
          </w:p>
          <w:p>
            <w:pPr>
              <w:pStyle w:val="3"/>
              <w:pageBreakBefore w:val="0"/>
              <w:kinsoku/>
              <w:overflowPunct/>
              <w:topLinePunct w:val="0"/>
              <w:bidi w:val="0"/>
              <w:adjustRightInd/>
              <w:spacing w:line="400" w:lineRule="exact"/>
              <w:textAlignment w:val="auto"/>
              <w:rPr>
                <w:rFonts w:ascii="仿宋" w:hAnsi="仿宋" w:eastAsia="仿宋" w:cs="仿宋"/>
                <w:sz w:val="21"/>
                <w:szCs w:val="21"/>
              </w:rPr>
            </w:pPr>
            <w:bookmarkStart w:id="26" w:name="_Toc18070"/>
            <w:bookmarkStart w:id="27" w:name="_Toc30243"/>
            <w:r>
              <w:rPr>
                <w:rFonts w:hint="eastAsia" w:ascii="仿宋" w:hAnsi="仿宋" w:eastAsia="仿宋" w:cs="仿宋"/>
                <w:sz w:val="21"/>
                <w:szCs w:val="21"/>
              </w:rPr>
              <w:t>5、</w:t>
            </w:r>
            <w:r>
              <w:rPr>
                <w:rFonts w:hint="eastAsia" w:ascii="仿宋" w:hAnsi="仿宋" w:eastAsia="仿宋" w:cs="仿宋"/>
                <w:sz w:val="21"/>
                <w:szCs w:val="21"/>
                <w:lang w:val="zh-CN"/>
              </w:rPr>
              <w:t>接待服务流程</w:t>
            </w:r>
            <w:bookmarkEnd w:id="26"/>
            <w:bookmarkEnd w:id="27"/>
            <w:r>
              <w:rPr>
                <w:rFonts w:hint="eastAsia" w:ascii="仿宋" w:hAnsi="仿宋" w:eastAsia="仿宋" w:cs="仿宋"/>
                <w:sz w:val="21"/>
                <w:szCs w:val="21"/>
                <w:lang w:val="zh-CN"/>
              </w:rPr>
              <w:t>后续服务</w:t>
            </w:r>
            <w:r>
              <w:rPr>
                <w:rFonts w:hint="eastAsia" w:ascii="仿宋" w:hAnsi="仿宋" w:eastAsia="仿宋" w:cs="仿宋"/>
                <w:sz w:val="21"/>
                <w:szCs w:val="21"/>
              </w:rPr>
              <w:t>；</w:t>
            </w:r>
          </w:p>
          <w:p>
            <w:pPr>
              <w:pStyle w:val="3"/>
              <w:pageBreakBefore w:val="0"/>
              <w:kinsoku/>
              <w:overflowPunct/>
              <w:topLinePunct w:val="0"/>
              <w:bidi w:val="0"/>
              <w:adjustRightInd/>
              <w:spacing w:line="400" w:lineRule="exact"/>
              <w:textAlignment w:val="auto"/>
              <w:rPr>
                <w:rFonts w:ascii="仿宋" w:hAnsi="仿宋" w:eastAsia="仿宋" w:cs="仿宋"/>
                <w:sz w:val="21"/>
                <w:szCs w:val="21"/>
              </w:rPr>
            </w:pPr>
            <w:r>
              <w:rPr>
                <w:rFonts w:hint="eastAsia" w:ascii="仿宋" w:hAnsi="仿宋" w:eastAsia="仿宋" w:cs="仿宋"/>
                <w:sz w:val="21"/>
                <w:szCs w:val="21"/>
              </w:rPr>
              <w:t>6、应急情况处理措施；措施内容需包含：交通事故、自然灾害、临时道路管控等应急预案；重大活动、培训高峰期及其他特殊时期的应急预案；</w:t>
            </w:r>
          </w:p>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完整提供以上内容的得1</w:t>
            </w:r>
            <w:r>
              <w:rPr>
                <w:rFonts w:ascii="仿宋" w:hAnsi="仿宋" w:eastAsia="仿宋" w:cs="仿宋"/>
                <w:sz w:val="21"/>
                <w:szCs w:val="21"/>
              </w:rPr>
              <w:t>8</w:t>
            </w:r>
            <w:r>
              <w:rPr>
                <w:rFonts w:hint="eastAsia" w:ascii="仿宋" w:hAnsi="仿宋" w:eastAsia="仿宋" w:cs="仿宋"/>
                <w:sz w:val="21"/>
                <w:szCs w:val="21"/>
              </w:rPr>
              <w:t>分；每有1 项内容缺失扣3分；每有 1 处内容存在缺陷的扣 1.5 分，该项分值扣完为止。</w:t>
            </w:r>
          </w:p>
          <w:p>
            <w:pPr>
              <w:pageBreakBefore w:val="0"/>
              <w:kinsoku/>
              <w:overflowPunct/>
              <w:topLinePunct w:val="0"/>
              <w:bidi w:val="0"/>
              <w:adjustRightInd/>
              <w:spacing w:line="400" w:lineRule="exact"/>
              <w:jc w:val="left"/>
              <w:textAlignment w:val="auto"/>
              <w:rPr>
                <w:rFonts w:hAnsi="宋体"/>
                <w:color w:val="FF0000"/>
                <w:sz w:val="24"/>
                <w:szCs w:val="24"/>
              </w:rPr>
            </w:pPr>
            <w:r>
              <w:rPr>
                <w:rFonts w:hint="eastAsia" w:ascii="仿宋" w:hAnsi="仿宋" w:eastAsia="仿宋" w:cs="仿宋"/>
                <w:sz w:val="21"/>
                <w:szCs w:val="21"/>
              </w:rPr>
              <w:t>注：“缺陷”是指：实际方案存在相互矛盾，照搬其他项目方案而存在与本项目执行无关的内容；只有简单复制粘贴需求内容而无描述。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713"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3</w:t>
            </w:r>
          </w:p>
        </w:tc>
        <w:tc>
          <w:tcPr>
            <w:tcW w:w="1259"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车辆保险</w:t>
            </w:r>
          </w:p>
        </w:tc>
        <w:tc>
          <w:tcPr>
            <w:tcW w:w="863"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15分</w:t>
            </w:r>
          </w:p>
        </w:tc>
        <w:tc>
          <w:tcPr>
            <w:tcW w:w="6685"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根据投标人用于本项目的车辆购买第三者责任险保险情况进行打分：</w:t>
            </w:r>
          </w:p>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100 万元/辆（不含）-120 万元/辆（含）的，每辆得0.5分；120 万元/辆（不含）-160 万元/辆（含）的，每辆得 1分；160 万元/辆（不含）以上的，每辆得1.5分。最多得 15 分。</w:t>
            </w:r>
          </w:p>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 xml:space="preserve">注：应提供本年度的商业险保单和行驶证或机动车登记证（合法且在有效期内、保单车辆信息与机动车登记证书上车辆信息一致）复印件加盖投标人公章；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2" w:hRule="atLeast"/>
          <w:jc w:val="center"/>
        </w:trPr>
        <w:tc>
          <w:tcPr>
            <w:tcW w:w="713"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 xml:space="preserve"> 4</w:t>
            </w:r>
          </w:p>
        </w:tc>
        <w:tc>
          <w:tcPr>
            <w:tcW w:w="1259"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备用车辆</w:t>
            </w:r>
          </w:p>
        </w:tc>
        <w:tc>
          <w:tcPr>
            <w:tcW w:w="863"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15分</w:t>
            </w:r>
          </w:p>
        </w:tc>
        <w:tc>
          <w:tcPr>
            <w:tcW w:w="6685"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投标人提供的车辆，在满足租赁清单中的基本车型数量的基础上，每多提供一辆备用车辆的得1分，本项最多得 15 分。</w:t>
            </w:r>
          </w:p>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注：以上车辆若为自有的须提供车辆行驶证复印件加盖投标人公章，若为租赁机动车需提供租赁合同（或附条件生效的协议）复印件及车辆行驶证复印件加盖投标人公章。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5</w:t>
            </w:r>
          </w:p>
        </w:tc>
        <w:tc>
          <w:tcPr>
            <w:tcW w:w="1259"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类似项目业绩</w:t>
            </w:r>
          </w:p>
        </w:tc>
        <w:tc>
          <w:tcPr>
            <w:tcW w:w="863"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12分</w:t>
            </w:r>
          </w:p>
        </w:tc>
        <w:tc>
          <w:tcPr>
            <w:tcW w:w="6685" w:type="dxa"/>
            <w:vAlign w:val="center"/>
          </w:tcPr>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投标人自 2020 年 1 月 1 日（含）到递交投标文件截止日期止，每提供一个类似项目业绩的得1 分，本项最高得12分。</w:t>
            </w:r>
          </w:p>
          <w:p>
            <w:pPr>
              <w:pStyle w:val="2"/>
              <w:pageBreakBefore w:val="0"/>
              <w:kinsoku/>
              <w:overflowPunct/>
              <w:topLinePunct w:val="0"/>
              <w:bidi w:val="0"/>
              <w:adjustRightInd/>
              <w:spacing w:line="400" w:lineRule="exact"/>
              <w:textAlignment w:val="auto"/>
              <w:rPr>
                <w:rFonts w:ascii="仿宋" w:hAnsi="仿宋" w:eastAsia="仿宋" w:cs="仿宋"/>
                <w:sz w:val="21"/>
                <w:szCs w:val="21"/>
              </w:rPr>
            </w:pPr>
            <w:r>
              <w:rPr>
                <w:rFonts w:hint="eastAsia" w:ascii="仿宋" w:hAnsi="仿宋" w:eastAsia="仿宋" w:cs="仿宋"/>
                <w:sz w:val="21"/>
                <w:szCs w:val="21"/>
              </w:rPr>
              <w:t>注：1、类似项目业绩是指车辆租赁类或驾驶服务类或道路运输业</w:t>
            </w:r>
          </w:p>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绩。</w:t>
            </w:r>
          </w:p>
          <w:p>
            <w:pPr>
              <w:pageBreakBefore w:val="0"/>
              <w:kinsoku/>
              <w:overflowPunct/>
              <w:topLinePunct w:val="0"/>
              <w:bidi w:val="0"/>
              <w:adjustRightInd/>
              <w:spacing w:line="400" w:lineRule="exact"/>
              <w:jc w:val="left"/>
              <w:textAlignment w:val="auto"/>
              <w:rPr>
                <w:rFonts w:ascii="仿宋" w:hAnsi="仿宋" w:eastAsia="仿宋" w:cs="仿宋"/>
                <w:sz w:val="21"/>
                <w:szCs w:val="21"/>
              </w:rPr>
            </w:pPr>
            <w:r>
              <w:rPr>
                <w:rFonts w:hint="eastAsia" w:ascii="仿宋" w:hAnsi="仿宋" w:eastAsia="仿宋" w:cs="仿宋"/>
                <w:sz w:val="21"/>
                <w:szCs w:val="21"/>
              </w:rPr>
              <w:t>2、需提供合同复印件并加盖投标人公章。</w:t>
            </w:r>
          </w:p>
        </w:tc>
      </w:tr>
      <w:bookmarkEnd w:id="24"/>
      <w:bookmarkEnd w:id="25"/>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2C75B"/>
    <w:multiLevelType w:val="singleLevel"/>
    <w:tmpl w:val="9022C75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TliOWE3MTgzYjNlMWNlODVkMTE4OTQ3MWZjYmIifQ=="/>
    <w:docVar w:name="KSO_WPS_MARK_KEY" w:val="1b1c48f0-81c1-476a-81f2-4700690e57a7"/>
  </w:docVars>
  <w:rsids>
    <w:rsidRoot w:val="759B10D9"/>
    <w:rsid w:val="33F352DE"/>
    <w:rsid w:val="759B1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tLeast"/>
      <w:jc w:val="both"/>
    </w:pPr>
    <w:rPr>
      <w:rFonts w:ascii="宋体" w:hAnsi="Times New Roman" w:eastAsia="宋体" w:cs="Times New Roman"/>
      <w:sz w:val="3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line="288" w:lineRule="auto"/>
    </w:pPr>
    <w:rPr>
      <w:rFonts w:ascii="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6212</Words>
  <Characters>6486</Characters>
  <Lines>0</Lines>
  <Paragraphs>0</Paragraphs>
  <TotalTime>0</TotalTime>
  <ScaleCrop>false</ScaleCrop>
  <LinksUpToDate>false</LinksUpToDate>
  <CharactersWithSpaces>6518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2025-03-13T01:34:00Z</dcterms:created>
  <dc:creator>hp</dc:creator>
  <cp:lastModifiedBy>Diana</cp:lastModifiedBy>
  <dcterms:modified xsi:type="dcterms:W3CDTF">2025-04-01T08:32:07Z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3469AB13EA534F02B779A64164D11EF0</vt:lpwstr>
  </property>
</Properties>
</file>