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jc w:val="center"/>
        <w:rPr>
          <w:rFonts w:hint="eastAsia" w:ascii="仿宋" w:hAnsi="仿宋" w:eastAsia="仿宋" w:cs="仿宋"/>
          <w:b/>
          <w:sz w:val="32"/>
          <w:szCs w:val="36"/>
          <w:lang w:val="en-US" w:eastAsia="zh-CN"/>
        </w:rPr>
      </w:pPr>
      <w:r>
        <w:fldChar w:fldCharType="begin"/>
      </w:r>
      <w:r>
        <w:instrText xml:space="preserve"> HYPERLINK "https://czpt.xhu.edu.cn/sfw/e?page=base.task.detail&amp;bpmNo=2403170013" \t "https://czpt.xhu.edu.cn/sfw/_blank" </w:instrText>
      </w:r>
      <w:r>
        <w:fldChar w:fldCharType="separate"/>
      </w:r>
      <w:r>
        <w:rPr>
          <w:rFonts w:hint="eastAsia" w:ascii="仿宋" w:hAnsi="仿宋" w:eastAsia="仿宋" w:cs="仿宋"/>
          <w:b/>
          <w:sz w:val="32"/>
          <w:szCs w:val="36"/>
        </w:rPr>
        <w:t>西华大学2024年大小客车租赁</w:t>
      </w:r>
      <w:r>
        <w:rPr>
          <w:rFonts w:hint="eastAsia" w:ascii="仿宋" w:hAnsi="仿宋" w:eastAsia="仿宋" w:cs="仿宋"/>
          <w:b/>
          <w:sz w:val="32"/>
          <w:szCs w:val="36"/>
          <w:lang w:val="en-US" w:eastAsia="zh-CN"/>
        </w:rPr>
        <w:t>服务政府</w:t>
      </w:r>
      <w:r>
        <w:rPr>
          <w:rFonts w:hint="eastAsia" w:ascii="仿宋" w:hAnsi="仿宋" w:eastAsia="仿宋" w:cs="仿宋"/>
          <w:b/>
          <w:sz w:val="32"/>
          <w:szCs w:val="36"/>
        </w:rPr>
        <w:t>采购</w:t>
      </w:r>
      <w:r>
        <w:rPr>
          <w:rFonts w:hint="eastAsia" w:ascii="仿宋" w:hAnsi="仿宋" w:eastAsia="仿宋" w:cs="仿宋"/>
          <w:b/>
          <w:sz w:val="32"/>
          <w:szCs w:val="36"/>
        </w:rPr>
        <w:fldChar w:fldCharType="end"/>
      </w:r>
      <w:r>
        <w:rPr>
          <w:rFonts w:hint="eastAsia" w:ascii="仿宋" w:hAnsi="仿宋" w:eastAsia="仿宋" w:cs="仿宋"/>
          <w:b/>
          <w:sz w:val="32"/>
          <w:szCs w:val="36"/>
          <w:lang w:val="en-US" w:eastAsia="zh-CN"/>
        </w:rPr>
        <w:t>项目</w:t>
      </w:r>
    </w:p>
    <w:p>
      <w:pPr>
        <w:spacing w:line="360" w:lineRule="auto"/>
        <w:ind w:firstLine="643" w:firstLineChars="200"/>
        <w:jc w:val="center"/>
        <w:rPr>
          <w:rFonts w:hint="default" w:ascii="仿宋" w:hAnsi="仿宋" w:eastAsia="仿宋" w:cs="仿宋"/>
          <w:b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6"/>
          <w:lang w:val="en-US" w:eastAsia="zh-CN"/>
        </w:rPr>
        <w:t>需求文件</w:t>
      </w: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一、项目概况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车改以后，学校配置的公务车辆只能保障学校教学、科研、行政办公、后勤保障等基本业务用车；因此，学校各学院的学生外出实习、学生的大型活动、教职工活动等只能外租社会车辆。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为满足学校各单位的用车需求，按照安全第一，服务至上的总体用车要求，结合学校内控管理制度要求和合同管理办法；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现公开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4"/>
        </w:rPr>
        <w:t>招标车辆租赁企业，以便学校统一管理。</w:t>
      </w: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0"/>
          <w:szCs w:val="30"/>
        </w:rPr>
        <w:t>、投标供应商的资格要求</w:t>
      </w:r>
    </w:p>
    <w:p>
      <w:pPr>
        <w:pStyle w:val="32"/>
        <w:spacing w:line="42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1、具有独立承担民事责任的能力；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3、具有履行合同所必需的设备和专业技术能力；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4、具有依法缴纳税收和社会保障资金的良好记录；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5、参加本次采购活动前三年内，在经营活动中没有重大违法记录。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6、符合法律、行政法规规定的其他条件。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7、本项目不接受联合体投标。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8、投标人单位及其现任法定代表人/主要负责人不得具有行贿犯罪记录。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9、根据采购项目提出的特殊条件：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供应商需具有有效的道路运输经营许可证（或在交通运输行政部门取得备案许可证明）。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Ansi="宋体" w:cs="宋体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注：由采购人或采购代理机构在资格审查时在《信用中国》网站（www.creditchina.gov.cn）、 《中国政府采购网》网站（www.ccgp.gov.cn）等渠道对供应商进行信用记录查询，并将查询记录存档。凡被列入失信被执行人、重大税收违法案件当事人名单、政府采购严重违法失信行为记录名单的，视为存在不良信用记录，其投标无效。</w:t>
      </w:r>
    </w:p>
    <w:p>
      <w:pPr>
        <w:numPr>
          <w:ilvl w:val="0"/>
          <w:numId w:val="1"/>
        </w:num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其他资格要求：无。</w:t>
      </w:r>
    </w:p>
    <w:p>
      <w:pPr>
        <w:widowControl w:val="0"/>
        <w:numPr>
          <w:ilvl w:val="0"/>
          <w:numId w:val="0"/>
        </w:numPr>
        <w:tabs>
          <w:tab w:val="left" w:pos="7665"/>
        </w:tabs>
        <w:spacing w:line="40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7665"/>
        </w:tabs>
        <w:spacing w:line="40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7665"/>
        </w:tabs>
        <w:spacing w:line="40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7665"/>
        </w:tabs>
        <w:spacing w:line="40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7665"/>
        </w:tabs>
        <w:spacing w:line="40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三、项目采购清单：</w:t>
      </w:r>
    </w:p>
    <w:tbl>
      <w:tblPr>
        <w:tblStyle w:val="12"/>
        <w:tblW w:w="516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632"/>
        <w:gridCol w:w="2200"/>
        <w:gridCol w:w="1398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包件号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标的名称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采购预算（万元）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履约保证金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郫都校区大小客车租赁服务大客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80.00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5万元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宜宾校区大小客车租赁服务大客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20.00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2万元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>
      <w:pPr>
        <w:pStyle w:val="4"/>
        <w:spacing w:before="156" w:beforeLines="50" w:after="156" w:afterLines="50"/>
        <w:ind w:firstLine="422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项目参考车型</w:t>
      </w:r>
    </w:p>
    <w:tbl>
      <w:tblPr>
        <w:tblStyle w:val="12"/>
        <w:tblW w:w="516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987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序号</w:t>
            </w:r>
          </w:p>
        </w:tc>
        <w:tc>
          <w:tcPr>
            <w:tcW w:w="339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拟要求配置清单（包含但不仅限于）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轿车（5座）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商务车（7座）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越野车（5-7座）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丰田考斯特19座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33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20座（含）-30座（含）客车</w:t>
            </w:r>
          </w:p>
        </w:tc>
        <w:tc>
          <w:tcPr>
            <w:tcW w:w="96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33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31座（含）-39座（含）客车</w:t>
            </w:r>
          </w:p>
        </w:tc>
        <w:tc>
          <w:tcPr>
            <w:tcW w:w="9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33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39座（不含）以上客车</w:t>
            </w:r>
          </w:p>
        </w:tc>
        <w:tc>
          <w:tcPr>
            <w:tcW w:w="9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四、项目服务要求（实质性要求）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_Toc466298096"/>
      <w:bookmarkStart w:id="1" w:name="_Toc472604648"/>
      <w:bookmarkStart w:id="2" w:name="_Toc465085404"/>
      <w:r>
        <w:rPr>
          <w:rFonts w:hint="eastAsia" w:ascii="仿宋" w:hAnsi="仿宋" w:eastAsia="仿宋" w:cs="仿宋"/>
          <w:sz w:val="24"/>
          <w:szCs w:val="24"/>
        </w:rPr>
        <w:t>1、质量要求：达到国家现行技术标准，需全部满足并符合采购人对本项目的要求。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2、安全要求：无安全事故，若发生因供应商问题引起的安全事故，所有经济及法律责任由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3、服务履约完成后无安全事故后无息退还保证金。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应在学校发出通知之日起三个工作日内与西华大学签订采购合同。由于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的原因逾期未与西华大学签订采购合同的，将视为放弃成交，取消其中标资格并将按相关规定进行处理。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因不可抗力原因不能履行采购合同或放弃成交的，经西华大学同意，学校可以与其他候选人签订采购合同。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与西华大学签订合同后，合同双方应严格执行合同条款，履行合同规定的义务，保证合同的顺利完成。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项目报价方式以各车型单车单次报价为标准。（实质性要求）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注：各车型单车单次报价不得高于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zh-CN"/>
        </w:rPr>
        <w:t>四川省机关事务管理局川机管函（2018）894号《关于做好2018-2021年度在蓉省级单位公务用车定点租赁（包车）工作的通知》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文件中各服务机构的单车单次报价。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根据本单位实际用车情况，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以参考车型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轿车、商务车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越野车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”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种车型每天定额里程为400公里（不含油）进行报价；“丰田考斯特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座”车型每天定额里程为150公里（含油）进行报价；“20座（含）-30座（含）客车、31座（含）-39座（含）客车、39座（不含）客车”</w:t>
      </w:r>
      <w:r>
        <w:rPr>
          <w:rFonts w:hint="eastAsia" w:ascii="仿宋" w:hAnsi="仿宋" w:eastAsia="仿宋" w:cs="仿宋"/>
          <w:sz w:val="24"/>
          <w:szCs w:val="24"/>
        </w:rPr>
        <w:t>三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种车型每天定额里程为200公里（含油）进行报价。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sz w:val="30"/>
          <w:szCs w:val="30"/>
        </w:rPr>
        <w:t>商务要求（实质性要求）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（1）合同经营期限：</w:t>
      </w:r>
      <w:r>
        <w:rPr>
          <w:rFonts w:hint="eastAsia" w:ascii="仿宋" w:hAnsi="仿宋" w:eastAsia="仿宋" w:cs="仿宋"/>
          <w:bCs/>
          <w:sz w:val="24"/>
        </w:rPr>
        <w:t>自合同签订之日起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</w:rPr>
        <w:t>年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（2）服务地点：</w:t>
      </w:r>
      <w:r>
        <w:rPr>
          <w:rFonts w:hint="eastAsia" w:ascii="仿宋" w:hAnsi="仿宋" w:eastAsia="仿宋" w:cs="仿宋"/>
          <w:bCs/>
          <w:sz w:val="24"/>
        </w:rPr>
        <w:t>采购人指定位置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（3）付款方式：</w:t>
      </w:r>
      <w:r>
        <w:rPr>
          <w:rFonts w:hint="eastAsia" w:ascii="仿宋" w:hAnsi="仿宋" w:eastAsia="仿宋" w:cs="仿宋"/>
          <w:bCs/>
          <w:sz w:val="24"/>
          <w:szCs w:val="24"/>
        </w:rPr>
        <w:t>根据实际用车情况，每两月结算一次，由采购人向中标供应商支付服务费用。</w:t>
      </w:r>
    </w:p>
    <w:p>
      <w:pPr>
        <w:spacing w:line="460" w:lineRule="exact"/>
        <w:ind w:firstLine="241" w:firstLineChars="1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（4）违约处理及处理方式</w:t>
      </w:r>
    </w:p>
    <w:p>
      <w:pPr>
        <w:spacing w:line="46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1、违约处理：违反合同条款视为违约，供应商违约，赔偿相应损失的同时支付违约金，同时保留追究相关法律责任。任何一方违约，违约方支付守约方合同总价2%的违约金。</w:t>
      </w:r>
    </w:p>
    <w:p>
      <w:pPr>
        <w:spacing w:line="46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2、双方如发生纠纷，先行协商解决，协商不成，提请项目所在地所在地人民法院提起诉讼。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sz w:val="30"/>
          <w:szCs w:val="30"/>
        </w:rPr>
        <w:t>验收：</w:t>
      </w: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1、严格按照招标文件要求和中标供应商投标文件内容进行验收。</w:t>
      </w: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2、严格按照相关法律法规要求进行验收。</w:t>
      </w: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七、评审方法及分值</w:t>
      </w:r>
    </w:p>
    <w:p>
      <w:pPr>
        <w:spacing w:line="460" w:lineRule="exact"/>
        <w:ind w:firstLine="482" w:firstLineChars="200"/>
        <w:rPr>
          <w:rFonts w:hint="eastAsia" w:ascii="仿宋" w:hAnsi="仿宋" w:eastAsia="仿宋" w:cs="仿宋"/>
          <w:b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评审方法：综合评分法</w:t>
      </w:r>
    </w:p>
    <w:tbl>
      <w:tblPr>
        <w:tblStyle w:val="12"/>
        <w:tblW w:w="8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4"/>
        <w:gridCol w:w="2901"/>
        <w:gridCol w:w="147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评分因素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分值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报价40%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服务方案18%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车辆保险15%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备用车辆15%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类似项目业绩12%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报价40%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服务方案18%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车辆保险15%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备用车辆15%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类似项目业绩12%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共同评分因素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F1B0"/>
    <w:multiLevelType w:val="singleLevel"/>
    <w:tmpl w:val="241CF1B0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GU0NmE5ODIyYTk4ZjgzZGM0Y2NlNjFmZGY5ZWEifQ=="/>
    <w:docVar w:name="KSO_WPS_MARK_KEY" w:val="bb25c515-73d4-4925-a44d-b44e2a96dafb"/>
  </w:docVars>
  <w:rsids>
    <w:rsidRoot w:val="00895A15"/>
    <w:rsid w:val="000D5120"/>
    <w:rsid w:val="00141457"/>
    <w:rsid w:val="00220833"/>
    <w:rsid w:val="002A3960"/>
    <w:rsid w:val="003D3BC5"/>
    <w:rsid w:val="003E4A0C"/>
    <w:rsid w:val="00447D67"/>
    <w:rsid w:val="004C3BCB"/>
    <w:rsid w:val="004E00CB"/>
    <w:rsid w:val="004E65CD"/>
    <w:rsid w:val="00555235"/>
    <w:rsid w:val="005A0E6D"/>
    <w:rsid w:val="005D0AC3"/>
    <w:rsid w:val="006E62A9"/>
    <w:rsid w:val="006E65B6"/>
    <w:rsid w:val="007667B0"/>
    <w:rsid w:val="007778CB"/>
    <w:rsid w:val="00895A15"/>
    <w:rsid w:val="008E1699"/>
    <w:rsid w:val="0096136F"/>
    <w:rsid w:val="00991681"/>
    <w:rsid w:val="00A452BD"/>
    <w:rsid w:val="00AC161F"/>
    <w:rsid w:val="00BF66AC"/>
    <w:rsid w:val="00D20961"/>
    <w:rsid w:val="00D22B9C"/>
    <w:rsid w:val="00DE4188"/>
    <w:rsid w:val="00E33A10"/>
    <w:rsid w:val="00E450DB"/>
    <w:rsid w:val="00E83B1B"/>
    <w:rsid w:val="00F764EF"/>
    <w:rsid w:val="00FB4AF0"/>
    <w:rsid w:val="00FC3B8B"/>
    <w:rsid w:val="00FF5838"/>
    <w:rsid w:val="00FF594A"/>
    <w:rsid w:val="019127B6"/>
    <w:rsid w:val="0475182E"/>
    <w:rsid w:val="095A064E"/>
    <w:rsid w:val="0BED2CDE"/>
    <w:rsid w:val="0E087ACE"/>
    <w:rsid w:val="1AB26E41"/>
    <w:rsid w:val="1B261B87"/>
    <w:rsid w:val="1C3A18A9"/>
    <w:rsid w:val="1D14682E"/>
    <w:rsid w:val="1E9F6C6F"/>
    <w:rsid w:val="1FFC786B"/>
    <w:rsid w:val="22905742"/>
    <w:rsid w:val="23964307"/>
    <w:rsid w:val="2424020B"/>
    <w:rsid w:val="2CF03F85"/>
    <w:rsid w:val="2D2C42AF"/>
    <w:rsid w:val="2E081123"/>
    <w:rsid w:val="31030DBF"/>
    <w:rsid w:val="31374878"/>
    <w:rsid w:val="3471441F"/>
    <w:rsid w:val="38672AD7"/>
    <w:rsid w:val="3917170B"/>
    <w:rsid w:val="3A940844"/>
    <w:rsid w:val="3C4909E4"/>
    <w:rsid w:val="416F7716"/>
    <w:rsid w:val="418A0631"/>
    <w:rsid w:val="44FA6A22"/>
    <w:rsid w:val="453641BF"/>
    <w:rsid w:val="48C57A10"/>
    <w:rsid w:val="4C936320"/>
    <w:rsid w:val="4CC823D1"/>
    <w:rsid w:val="4D65092C"/>
    <w:rsid w:val="4D94446B"/>
    <w:rsid w:val="506D346E"/>
    <w:rsid w:val="50DE6667"/>
    <w:rsid w:val="52B94123"/>
    <w:rsid w:val="54712357"/>
    <w:rsid w:val="56C53E05"/>
    <w:rsid w:val="593037D7"/>
    <w:rsid w:val="595728AD"/>
    <w:rsid w:val="5A7140A7"/>
    <w:rsid w:val="5AAB75B9"/>
    <w:rsid w:val="5C02145B"/>
    <w:rsid w:val="5F586E3A"/>
    <w:rsid w:val="64E45081"/>
    <w:rsid w:val="651838A9"/>
    <w:rsid w:val="66C9026B"/>
    <w:rsid w:val="67046AA2"/>
    <w:rsid w:val="68201275"/>
    <w:rsid w:val="69FA7C16"/>
    <w:rsid w:val="6F7E2BB7"/>
    <w:rsid w:val="70DB1C7D"/>
    <w:rsid w:val="70DE5573"/>
    <w:rsid w:val="727F515C"/>
    <w:rsid w:val="79165CF7"/>
    <w:rsid w:val="79F47009"/>
    <w:rsid w:val="7CAC1243"/>
    <w:rsid w:val="7EAA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3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8"/>
    <w:pPr>
      <w:keepNext/>
      <w:keepLines/>
      <w:spacing w:before="340" w:after="330" w:line="578" w:lineRule="auto"/>
      <w:outlineLvl w:val="0"/>
    </w:pPr>
    <w:rPr>
      <w:rFonts w:ascii="宋体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  <w:jc w:val="left"/>
    </w:pPr>
  </w:style>
  <w:style w:type="paragraph" w:styleId="5">
    <w:name w:val="Body Text"/>
    <w:basedOn w:val="1"/>
    <w:next w:val="6"/>
    <w:link w:val="17"/>
    <w:qFormat/>
    <w:uiPriority w:val="0"/>
    <w:pPr>
      <w:spacing w:after="120"/>
    </w:pPr>
  </w:style>
  <w:style w:type="paragraph" w:styleId="6">
    <w:name w:val="Plain Text"/>
    <w:basedOn w:val="1"/>
    <w:link w:val="18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ody Text Indent"/>
    <w:basedOn w:val="1"/>
    <w:qFormat/>
    <w:uiPriority w:val="0"/>
    <w:pPr>
      <w:ind w:firstLine="795"/>
    </w:pPr>
    <w:rPr>
      <w:rFonts w:ascii="Times New Roman"/>
      <w:sz w:val="3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6"/>
    <w:qFormat/>
    <w:uiPriority w:val="3"/>
    <w:pPr>
      <w:jc w:val="center"/>
      <w:outlineLvl w:val="1"/>
    </w:pPr>
    <w:rPr>
      <w:rFonts w:ascii="黑体" w:hAnsi="黑体" w:eastAsia="黑体" w:cs="Times New Roman"/>
      <w:b/>
      <w:bCs/>
      <w:kern w:val="28"/>
      <w:sz w:val="3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正文文本 Char"/>
    <w:basedOn w:val="14"/>
    <w:link w:val="5"/>
    <w:qFormat/>
    <w:uiPriority w:val="0"/>
  </w:style>
  <w:style w:type="character" w:customStyle="1" w:styleId="18">
    <w:name w:val="纯文本 Char"/>
    <w:basedOn w:val="14"/>
    <w:link w:val="6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0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标题 1 Char"/>
    <w:basedOn w:val="14"/>
    <w:link w:val="2"/>
    <w:qFormat/>
    <w:uiPriority w:val="98"/>
    <w:rPr>
      <w:rFonts w:ascii="宋体" w:hAnsi="Calibri"/>
      <w:b/>
      <w:bCs/>
      <w:kern w:val="44"/>
      <w:sz w:val="44"/>
      <w:szCs w:val="44"/>
    </w:rPr>
  </w:style>
  <w:style w:type="character" w:customStyle="1" w:styleId="26">
    <w:name w:val="副标题 Char"/>
    <w:basedOn w:val="14"/>
    <w:link w:val="11"/>
    <w:qFormat/>
    <w:uiPriority w:val="3"/>
    <w:rPr>
      <w:rFonts w:ascii="黑体" w:hAnsi="黑体" w:eastAsia="黑体"/>
      <w:b/>
      <w:bCs/>
      <w:kern w:val="28"/>
      <w:sz w:val="30"/>
      <w:szCs w:val="22"/>
    </w:rPr>
  </w:style>
  <w:style w:type="character" w:customStyle="1" w:styleId="27">
    <w:name w:val="Heading 3 Char"/>
    <w:qFormat/>
    <w:uiPriority w:val="0"/>
    <w:rPr>
      <w:rFonts w:cs="Times New Roman"/>
      <w:b/>
      <w:bCs/>
      <w:sz w:val="32"/>
      <w:szCs w:val="32"/>
    </w:rPr>
  </w:style>
  <w:style w:type="paragraph" w:customStyle="1" w:styleId="28">
    <w:name w:val="表格"/>
    <w:basedOn w:val="1"/>
    <w:qFormat/>
    <w:uiPriority w:val="0"/>
    <w:pPr>
      <w:spacing w:line="400" w:lineRule="exact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2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Table Paragraph"/>
    <w:basedOn w:val="1"/>
    <w:qFormat/>
    <w:uiPriority w:val="1"/>
    <w:rPr>
      <w:rFonts w:ascii="宋体" w:hAnsi="Calibri" w:eastAsia="宋体" w:cs="Times New Roman"/>
      <w:kern w:val="0"/>
      <w:sz w:val="34"/>
      <w:szCs w:val="20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首行缩进两字符"/>
    <w:basedOn w:val="1"/>
    <w:qFormat/>
    <w:uiPriority w:val="0"/>
    <w:pPr>
      <w:autoSpaceDE w:val="0"/>
      <w:autoSpaceDN w:val="0"/>
      <w:adjustRightInd w:val="0"/>
      <w:spacing w:line="360" w:lineRule="atLeas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BFB1-90EE-4C7E-9E9B-D9BD11E2B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1745</Words>
  <Characters>1859</Characters>
  <Lines>65</Lines>
  <Paragraphs>18</Paragraphs>
  <TotalTime>12</TotalTime>
  <ScaleCrop>false</ScaleCrop>
  <LinksUpToDate>false</LinksUpToDate>
  <CharactersWithSpaces>1867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2024-03-27T05:52:00Z</dcterms:created>
  <dc:creator>刘雪梅</dc:creator>
  <cp:lastModifiedBy>hp</cp:lastModifiedBy>
  <dcterms:modified xsi:type="dcterms:W3CDTF">2024-03-29T03:51:38Z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60D291A24A3140F69F066552FF7B81FC</vt:lpwstr>
  </property>
</Properties>
</file>