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uto"/>
        <w:jc w:val="center"/>
        <w:outlineLvl w:val="0"/>
        <w:rPr>
          <w:rFonts w:ascii="宋体" w:hAnsi="宋体" w:eastAsia="宋体" w:cs="宋体"/>
          <w:b/>
          <w:bCs/>
          <w:color w:val="000000" w:themeColor="text1"/>
          <w:kern w:val="36"/>
          <w:sz w:val="48"/>
          <w:szCs w:val="48"/>
          <w14:textFill>
            <w14:solidFill>
              <w14:schemeClr w14:val="tx1"/>
            </w14:solidFill>
          </w14:textFill>
        </w:rPr>
      </w:pPr>
      <w:r>
        <w:rPr>
          <w:rFonts w:hint="eastAsia" w:ascii="宋体" w:hAnsi="宋体" w:eastAsia="宋体" w:cs="宋体"/>
          <w:b/>
          <w:bCs/>
          <w:color w:val="000000" w:themeColor="text1"/>
          <w:kern w:val="36"/>
          <w:sz w:val="48"/>
          <w:szCs w:val="48"/>
          <w14:textFill>
            <w14:solidFill>
              <w14:schemeClr w14:val="tx1"/>
            </w14:solidFill>
          </w14:textFill>
        </w:rPr>
        <w:t>政府采购项目采购需求（货物</w:t>
      </w:r>
      <w:r>
        <w:rPr>
          <w:rFonts w:ascii="宋体" w:hAnsi="宋体" w:eastAsia="宋体" w:cs="宋体"/>
          <w:b/>
          <w:bCs/>
          <w:color w:val="000000" w:themeColor="text1"/>
          <w:kern w:val="36"/>
          <w:sz w:val="48"/>
          <w:szCs w:val="48"/>
          <w14:textFill>
            <w14:solidFill>
              <w14:schemeClr w14:val="tx1"/>
            </w14:solidFill>
          </w14:textFill>
        </w:rPr>
        <w:t>类</w:t>
      </w:r>
      <w:r>
        <w:rPr>
          <w:rFonts w:hint="eastAsia" w:ascii="宋体" w:hAnsi="宋体" w:eastAsia="宋体" w:cs="宋体"/>
          <w:b/>
          <w:bCs/>
          <w:color w:val="000000" w:themeColor="text1"/>
          <w:kern w:val="36"/>
          <w:sz w:val="48"/>
          <w:szCs w:val="48"/>
          <w14:textFill>
            <w14:solidFill>
              <w14:schemeClr w14:val="tx1"/>
            </w14:solidFill>
          </w14:textFill>
        </w:rPr>
        <w:t>）</w:t>
      </w:r>
    </w:p>
    <w:p>
      <w:pPr>
        <w:widowControl/>
        <w:shd w:val="clear" w:color="auto" w:fill="FFFFFF"/>
        <w:spacing w:line="480" w:lineRule="auto"/>
        <w:jc w:val="right"/>
        <w:outlineLvl w:val="2"/>
        <w:rPr>
          <w:rFonts w:ascii="宋体" w:hAnsi="宋体" w:eastAsia="宋体" w:cs="宋体"/>
          <w:color w:val="000000" w:themeColor="text1"/>
          <w:kern w:val="0"/>
          <w:sz w:val="27"/>
          <w:szCs w:val="27"/>
          <w14:textFill>
            <w14:solidFill>
              <w14:schemeClr w14:val="tx1"/>
            </w14:solidFill>
          </w14:textFill>
        </w:rPr>
      </w:pPr>
    </w:p>
    <w:p>
      <w:pPr>
        <w:widowControl/>
        <w:shd w:val="clear" w:color="auto" w:fill="FFFFFF"/>
        <w:spacing w:line="480" w:lineRule="auto"/>
        <w:ind w:right="1080"/>
        <w:outlineLvl w:val="2"/>
        <w:rPr>
          <w:rFonts w:ascii="宋体" w:hAnsi="宋体" w:eastAsia="宋体" w:cs="宋体"/>
          <w:color w:val="000000" w:themeColor="text1"/>
          <w:kern w:val="0"/>
          <w:sz w:val="27"/>
          <w:szCs w:val="27"/>
          <w14:textFill>
            <w14:solidFill>
              <w14:schemeClr w14:val="tx1"/>
            </w14:solidFill>
          </w14:textFill>
        </w:rPr>
      </w:pPr>
      <w:r>
        <w:rPr>
          <w:rFonts w:hint="eastAsia" w:ascii="宋体" w:hAnsi="宋体" w:eastAsia="宋体" w:cs="宋体"/>
          <w:color w:val="000000" w:themeColor="text1"/>
          <w:kern w:val="0"/>
          <w:sz w:val="27"/>
          <w:szCs w:val="27"/>
          <w14:textFill>
            <w14:solidFill>
              <w14:schemeClr w14:val="tx1"/>
            </w14:solidFill>
          </w14:textFill>
        </w:rPr>
        <w:t>采购单位（盖章）：后勤服务总公司</w:t>
      </w:r>
    </w:p>
    <w:p>
      <w:pPr>
        <w:widowControl/>
        <w:shd w:val="clear" w:color="auto" w:fill="FFFFFF"/>
        <w:spacing w:line="480" w:lineRule="auto"/>
        <w:outlineLvl w:val="2"/>
        <w:rPr>
          <w:rFonts w:ascii="宋体" w:hAnsi="宋体" w:eastAsia="宋体" w:cs="宋体"/>
          <w:b/>
          <w:bCs/>
          <w:color w:val="000000" w:themeColor="text1"/>
          <w:kern w:val="0"/>
          <w:sz w:val="27"/>
          <w:szCs w:val="27"/>
          <w14:textFill>
            <w14:solidFill>
              <w14:schemeClr w14:val="tx1"/>
            </w14:solidFill>
          </w14:textFill>
        </w:rPr>
      </w:pPr>
      <w:r>
        <w:rPr>
          <w:rFonts w:hint="eastAsia" w:ascii="宋体" w:hAnsi="宋体" w:eastAsia="宋体" w:cs="宋体"/>
          <w:b/>
          <w:bCs/>
          <w:color w:val="000000" w:themeColor="text1"/>
          <w:kern w:val="0"/>
          <w:sz w:val="27"/>
          <w:szCs w:val="27"/>
          <w14:textFill>
            <w14:solidFill>
              <w14:schemeClr w14:val="tx1"/>
            </w14:solidFill>
          </w14:textFill>
        </w:rPr>
        <w:t>一、项目总体情况</w:t>
      </w:r>
      <w:bookmarkStart w:id="0" w:name="_GoBack"/>
      <w:bookmarkEnd w:id="0"/>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（一）项目名称：</w:t>
      </w:r>
      <w:r>
        <w:rPr>
          <w:rFonts w:hint="eastAsia" w:ascii="宋体" w:hAnsi="宋体" w:eastAsia="宋体" w:cs="宋体"/>
          <w:color w:val="000000" w:themeColor="text1"/>
          <w:kern w:val="0"/>
          <w:sz w:val="24"/>
          <w:szCs w:val="24"/>
          <w:lang w:eastAsia="zh-CN"/>
          <w14:textFill>
            <w14:solidFill>
              <w14:schemeClr w14:val="tx1"/>
            </w14:solidFill>
          </w14:textFill>
        </w:rPr>
        <w:t>西华大学</w:t>
      </w:r>
      <w:r>
        <w:rPr>
          <w:rFonts w:hint="eastAsia" w:ascii="宋体" w:hAnsi="宋体" w:eastAsia="宋体" w:cs="宋体"/>
          <w:color w:val="000000" w:themeColor="text1"/>
          <w:kern w:val="0"/>
          <w:sz w:val="24"/>
          <w:szCs w:val="24"/>
          <w:lang w:val="en-US" w:eastAsia="zh-CN"/>
          <w14:textFill>
            <w14:solidFill>
              <w14:schemeClr w14:val="tx1"/>
            </w14:solidFill>
          </w14:textFill>
        </w:rPr>
        <w:t>2022年</w:t>
      </w:r>
      <w:r>
        <w:rPr>
          <w:rFonts w:hint="eastAsia" w:ascii="宋体" w:hAnsi="宋体" w:eastAsia="宋体" w:cs="宋体"/>
          <w:color w:val="000000" w:themeColor="text1"/>
          <w:kern w:val="0"/>
          <w:sz w:val="24"/>
          <w:szCs w:val="24"/>
          <w14:textFill>
            <w14:solidFill>
              <w14:schemeClr w14:val="tx1"/>
            </w14:solidFill>
          </w14:textFill>
        </w:rPr>
        <w:t>公务用车购置</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（二）项目所属年度：2022 </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（三）项目所属分类：</w:t>
      </w:r>
      <w:r>
        <w:rPr>
          <w:rFonts w:hint="eastAsia" w:ascii="宋体" w:hAnsi="宋体" w:eastAsia="宋体" w:cs="宋体"/>
          <w:b/>
          <w:color w:val="000000" w:themeColor="text1"/>
          <w:kern w:val="0"/>
          <w:sz w:val="24"/>
          <w:szCs w:val="24"/>
          <w14:textFill>
            <w14:solidFill>
              <w14:schemeClr w14:val="tx1"/>
            </w14:solidFill>
          </w14:textFill>
        </w:rPr>
        <w:t>货物</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（四）预算金额（元）：108万元 ，大写（人民币）：壹佰零捌万元整 </w:t>
      </w:r>
    </w:p>
    <w:p>
      <w:pPr>
        <w:widowControl/>
        <w:shd w:val="clear" w:color="auto" w:fill="FFFFFF"/>
        <w:spacing w:line="480" w:lineRule="auto"/>
        <w:ind w:firstLine="1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最高限价（元）：108万元，大写（人民币）：壹佰零捌万元整</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（五）项目概况：</w:t>
      </w:r>
    </w:p>
    <w:p>
      <w:pPr>
        <w:widowControl/>
        <w:shd w:val="clear" w:color="auto" w:fill="FFFFFF"/>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通过西华大学公务用车购置的实施，补充完善西华大学车辆，满足日益增长的用车需求，</w:t>
      </w:r>
      <w:r>
        <w:rPr>
          <w:rFonts w:hint="eastAsia" w:ascii="宋体" w:hAnsi="宋体" w:eastAsia="宋体" w:cs="宋体"/>
          <w:color w:val="000000" w:themeColor="text1"/>
          <w:kern w:val="0"/>
          <w:sz w:val="24"/>
          <w:szCs w:val="24"/>
          <w:lang w:eastAsia="zh-CN"/>
          <w14:textFill>
            <w14:solidFill>
              <w14:schemeClr w14:val="tx1"/>
            </w14:solidFill>
          </w14:textFill>
        </w:rPr>
        <w:t>消除安全隐患，</w:t>
      </w:r>
      <w:r>
        <w:rPr>
          <w:rFonts w:hint="eastAsia" w:ascii="宋体" w:hAnsi="宋体" w:eastAsia="宋体" w:cs="宋体"/>
          <w:color w:val="000000" w:themeColor="text1"/>
          <w:kern w:val="0"/>
          <w:sz w:val="24"/>
          <w:szCs w:val="24"/>
          <w14:textFill>
            <w14:solidFill>
              <w14:schemeClr w14:val="tx1"/>
            </w14:solidFill>
          </w14:textFill>
        </w:rPr>
        <w:t>更好的为全校师生做好后勤服务。</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（六）本项目是否有为采购项目提供整体设计、规范编制或者项目管理、监理、检测等服务的供应商：□是（填以下信息） </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否</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供应商名称：</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供应商统一社会信用代码：</w:t>
      </w:r>
    </w:p>
    <w:p>
      <w:pPr>
        <w:widowControl/>
        <w:shd w:val="clear" w:color="auto" w:fill="FFFFFF"/>
        <w:spacing w:line="480" w:lineRule="auto"/>
        <w:outlineLvl w:val="2"/>
        <w:rPr>
          <w:rFonts w:ascii="宋体" w:hAnsi="宋体" w:eastAsia="宋体" w:cs="宋体"/>
          <w:b/>
          <w:bCs/>
          <w:color w:val="000000" w:themeColor="text1"/>
          <w:kern w:val="0"/>
          <w:sz w:val="27"/>
          <w:szCs w:val="27"/>
          <w14:textFill>
            <w14:solidFill>
              <w14:schemeClr w14:val="tx1"/>
            </w14:solidFill>
          </w14:textFill>
        </w:rPr>
      </w:pPr>
      <w:r>
        <w:rPr>
          <w:rFonts w:hint="eastAsia" w:ascii="宋体" w:hAnsi="宋体" w:eastAsia="宋体" w:cs="宋体"/>
          <w:b/>
          <w:bCs/>
          <w:color w:val="000000" w:themeColor="text1"/>
          <w:kern w:val="0"/>
          <w:sz w:val="27"/>
          <w:szCs w:val="27"/>
          <w14:textFill>
            <w14:solidFill>
              <w14:schemeClr w14:val="tx1"/>
            </w14:solidFill>
          </w14:textFill>
        </w:rPr>
        <w:t>二、项目需求调查情况</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依据《政府采购需求管理办法》的规定，□本项目需要（填以下信息）   </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不需要 需求调查，具体情况如下：</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·本项目属于以下应当展开需求的情形</w:t>
      </w:r>
    </w:p>
    <w:p>
      <w:pPr>
        <w:widowControl/>
        <w:shd w:val="clear" w:color="auto" w:fill="FFFFFF"/>
        <w:spacing w:line="480" w:lineRule="auto"/>
        <w:ind w:left="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□1000万元以上的货物、服务采购项目，3000万元以上的工程采购项目；</w:t>
      </w:r>
    </w:p>
    <w:p>
      <w:pPr>
        <w:widowControl/>
        <w:shd w:val="clear" w:color="auto" w:fill="FFFFFF"/>
        <w:spacing w:line="480" w:lineRule="auto"/>
        <w:ind w:left="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□涉及公共利益、社会关注度较高的采购项目，包括政府向社会公众提供的公共服务项目等；</w:t>
      </w:r>
    </w:p>
    <w:p>
      <w:pPr>
        <w:widowControl/>
        <w:shd w:val="clear" w:color="auto" w:fill="FFFFFF"/>
        <w:spacing w:line="480" w:lineRule="auto"/>
        <w:ind w:left="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□技术复杂、专业性较强的项目，包括需定制开发的信息化建设项目、采购进口产品的项目等；</w:t>
      </w:r>
    </w:p>
    <w:p>
      <w:pPr>
        <w:widowControl/>
        <w:shd w:val="clear" w:color="auto" w:fill="FFFFFF"/>
        <w:spacing w:line="480" w:lineRule="auto"/>
        <w:ind w:left="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□主管预算单位或者采购人认为需要开展需求调查的其他采购项目。</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·本项目属于以下可以不再重复开展需求调查的情形</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□编制采购需求前一年内，采购人已就相关采购标的开展过需求调查的可以不再重复开展。</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□按照法律法规的规定，对采购项目开展可行性研究等前期工作，已包含需求调查内容的，可以不再重复调查</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（一）需求调查方式:</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□咨询□论证□调查问卷</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（二）需求调查对象:</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（三）需求调查结果</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1.相关产业发展情况:</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2.市场供给情况:</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3.同类采购项目历史成交信息情况:</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4.可能涉及的运行维护、升级更新、备品备件、耗材等后续采购情况:</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5.其他相关情况:</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p>
    <w:p>
      <w:pPr>
        <w:widowControl/>
        <w:shd w:val="clear" w:color="auto" w:fill="FFFFFF"/>
        <w:spacing w:line="480" w:lineRule="auto"/>
        <w:outlineLvl w:val="2"/>
        <w:rPr>
          <w:rFonts w:ascii="宋体" w:hAnsi="宋体" w:eastAsia="宋体" w:cs="宋体"/>
          <w:b/>
          <w:bCs/>
          <w:color w:val="000000" w:themeColor="text1"/>
          <w:kern w:val="0"/>
          <w:sz w:val="27"/>
          <w:szCs w:val="27"/>
          <w14:textFill>
            <w14:solidFill>
              <w14:schemeClr w14:val="tx1"/>
            </w14:solidFill>
          </w14:textFill>
        </w:rPr>
      </w:pPr>
      <w:r>
        <w:rPr>
          <w:rFonts w:hint="eastAsia" w:ascii="宋体" w:hAnsi="宋体" w:eastAsia="宋体" w:cs="宋体"/>
          <w:b/>
          <w:bCs/>
          <w:color w:val="000000" w:themeColor="text1"/>
          <w:kern w:val="0"/>
          <w:sz w:val="27"/>
          <w:szCs w:val="27"/>
          <w14:textFill>
            <w14:solidFill>
              <w14:schemeClr w14:val="tx1"/>
            </w14:solidFill>
          </w14:textFill>
        </w:rPr>
        <w:t>三、项目采购实施计划</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（一）采购组织形式：</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政府集中采购  □部门集中采购  □分散采购</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（二）采购方式</w:t>
      </w:r>
      <w:r>
        <w:rPr>
          <w:rFonts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公开招标  □邀请</w:t>
      </w:r>
      <w:r>
        <w:rPr>
          <w:rFonts w:ascii="宋体" w:hAnsi="宋体" w:eastAsia="宋体" w:cs="宋体"/>
          <w:color w:val="000000" w:themeColor="text1"/>
          <w:kern w:val="0"/>
          <w:sz w:val="24"/>
          <w:szCs w:val="24"/>
          <w14:textFill>
            <w14:solidFill>
              <w14:schemeClr w14:val="tx1"/>
            </w14:solidFill>
          </w14:textFill>
        </w:rPr>
        <w:t>招标</w:t>
      </w:r>
      <w:r>
        <w:rPr>
          <w:rFonts w:hint="eastAsia" w:ascii="宋体" w:hAnsi="宋体" w:eastAsia="宋体" w:cs="宋体"/>
          <w:color w:val="000000" w:themeColor="text1"/>
          <w:kern w:val="0"/>
          <w:sz w:val="24"/>
          <w:szCs w:val="24"/>
          <w14:textFill>
            <w14:solidFill>
              <w14:schemeClr w14:val="tx1"/>
            </w14:solidFill>
          </w14:textFill>
        </w:rPr>
        <w:t xml:space="preserve">  □竞争性谈判  □询价  □单一来源  □竞争性</w:t>
      </w:r>
      <w:r>
        <w:rPr>
          <w:rFonts w:ascii="宋体" w:hAnsi="宋体" w:eastAsia="宋体" w:cs="宋体"/>
          <w:color w:val="000000" w:themeColor="text1"/>
          <w:kern w:val="0"/>
          <w:sz w:val="24"/>
          <w:szCs w:val="24"/>
          <w14:textFill>
            <w14:solidFill>
              <w14:schemeClr w14:val="tx1"/>
            </w14:solidFill>
          </w14:textFill>
        </w:rPr>
        <w:t>磋商</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（三）本项目是否单位自行组织采购：否</w:t>
      </w:r>
    </w:p>
    <w:p>
      <w:pPr>
        <w:widowControl/>
        <w:shd w:val="clear" w:color="auto" w:fill="FFFFFF"/>
        <w:spacing w:line="480" w:lineRule="auto"/>
        <w:ind w:firstLine="420"/>
        <w:rPr>
          <w:color w:val="000000" w:themeColor="text1"/>
          <w:sz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（四）采购包划分</w:t>
      </w:r>
      <w:r>
        <w:rPr>
          <w:rFonts w:hint="eastAsia"/>
          <w:color w:val="000000" w:themeColor="text1"/>
          <w14:textFill>
            <w14:solidFill>
              <w14:schemeClr w14:val="tx1"/>
            </w14:solidFill>
          </w14:textFill>
        </w:rPr>
        <w:t>：</w:t>
      </w:r>
      <w:r>
        <w:rPr>
          <w:rFonts w:hint="eastAsia"/>
          <w:color w:val="000000" w:themeColor="text1"/>
          <w:sz w:val="24"/>
          <w14:textFill>
            <w14:solidFill>
              <w14:schemeClr w14:val="tx1"/>
            </w14:solidFill>
          </w14:textFill>
        </w:rPr>
        <w:t>不分包采购</w:t>
      </w:r>
    </w:p>
    <w:p>
      <w:pPr>
        <w:widowControl/>
        <w:shd w:val="clear" w:color="auto" w:fill="FFFFFF"/>
        <w:spacing w:line="48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包</w:t>
      </w:r>
      <w:r>
        <w:rPr>
          <w:color w:val="000000" w:themeColor="text1"/>
          <w:sz w:val="24"/>
          <w14:textFill>
            <w14:solidFill>
              <w14:schemeClr w14:val="tx1"/>
            </w14:solidFill>
          </w14:textFill>
        </w:rPr>
        <w:t>名称：</w:t>
      </w:r>
      <w:r>
        <w:rPr>
          <w:rFonts w:hint="eastAsia" w:ascii="宋体" w:hAnsi="宋体" w:eastAsia="宋体" w:cs="宋体"/>
          <w:color w:val="000000" w:themeColor="text1"/>
          <w:kern w:val="0"/>
          <w:sz w:val="24"/>
          <w:szCs w:val="24"/>
          <w14:textFill>
            <w14:solidFill>
              <w14:schemeClr w14:val="tx1"/>
            </w14:solidFill>
          </w14:textFill>
        </w:rPr>
        <w:t xml:space="preserve">公务用车购置 </w:t>
      </w: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color w:val="000000" w:themeColor="text1"/>
          <w:sz w:val="24"/>
          <w14:textFill>
            <w14:solidFill>
              <w14:schemeClr w14:val="tx1"/>
            </w14:solidFill>
          </w14:textFill>
        </w:rPr>
        <w:t>最高</w:t>
      </w:r>
      <w:r>
        <w:rPr>
          <w:color w:val="000000" w:themeColor="text1"/>
          <w:sz w:val="24"/>
          <w14:textFill>
            <w14:solidFill>
              <w14:schemeClr w14:val="tx1"/>
            </w14:solidFill>
          </w14:textFill>
        </w:rPr>
        <w:t>限价</w:t>
      </w:r>
      <w:r>
        <w:rPr>
          <w:rFonts w:hint="eastAsia"/>
          <w:color w:val="000000" w:themeColor="text1"/>
          <w:sz w:val="24"/>
          <w14:textFill>
            <w14:solidFill>
              <w14:schemeClr w14:val="tx1"/>
            </w14:solidFill>
          </w14:textFill>
        </w:rPr>
        <w:t>（元）</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108万元</w:t>
      </w:r>
    </w:p>
    <w:p>
      <w:pPr>
        <w:widowControl/>
        <w:shd w:val="clear" w:color="auto" w:fill="FFFFFF"/>
        <w:spacing w:line="48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定价方式：</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color w:val="000000" w:themeColor="text1"/>
          <w:sz w:val="24"/>
          <w14:textFill>
            <w14:solidFill>
              <w14:schemeClr w14:val="tx1"/>
            </w14:solidFill>
          </w14:textFill>
        </w:rPr>
        <w:t>固定总价</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固定单价</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其他（</w:t>
      </w:r>
      <w:r>
        <w:rPr>
          <w:color w:val="000000" w:themeColor="text1"/>
          <w:sz w:val="24"/>
          <w14:textFill>
            <w14:solidFill>
              <w14:schemeClr w14:val="tx1"/>
            </w14:solidFill>
          </w14:textFill>
        </w:rPr>
        <w:t>定价方式名称：</w:t>
      </w:r>
      <w:r>
        <w:rPr>
          <w:rFonts w:hint="eastAsia"/>
          <w:color w:val="000000" w:themeColor="text1"/>
          <w:sz w:val="24"/>
          <w14:textFill>
            <w14:solidFill>
              <w14:schemeClr w14:val="tx1"/>
            </w14:solidFill>
          </w14:textFill>
        </w:rPr>
        <w:t>）</w:t>
      </w:r>
    </w:p>
    <w:p>
      <w:pPr>
        <w:widowControl/>
        <w:shd w:val="clear" w:color="auto" w:fill="FFFFFF"/>
        <w:spacing w:line="48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品目信息一</w:t>
      </w:r>
    </w:p>
    <w:p>
      <w:pPr>
        <w:widowControl/>
        <w:shd w:val="clear" w:color="auto" w:fill="FFFFFF"/>
        <w:spacing w:line="48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标的名称：大中型客车</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48座</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 xml:space="preserve">   计量单位</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辆   数量：1</w:t>
      </w:r>
    </w:p>
    <w:p>
      <w:pPr>
        <w:widowControl/>
        <w:shd w:val="clear" w:color="auto" w:fill="FFFFFF"/>
        <w:spacing w:line="48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单价（元）</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45万元  该品目预算(元)：45万元</w:t>
      </w:r>
    </w:p>
    <w:p>
      <w:pPr>
        <w:widowControl/>
        <w:shd w:val="clear" w:color="auto" w:fill="FFFFFF"/>
        <w:spacing w:line="48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品目信息二</w:t>
      </w:r>
    </w:p>
    <w:p>
      <w:pPr>
        <w:widowControl/>
        <w:shd w:val="clear" w:color="auto" w:fill="FFFFFF"/>
        <w:spacing w:line="48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标的名称：</w:t>
      </w:r>
      <w:r>
        <w:rPr>
          <w:rFonts w:hint="eastAsia" w:ascii="Calibri" w:hAnsi="Calibri" w:eastAsia="宋体" w:cs="Times New Roman"/>
          <w:color w:val="000000" w:themeColor="text1"/>
          <w:sz w:val="24"/>
          <w14:textFill>
            <w14:solidFill>
              <w14:schemeClr w14:val="tx1"/>
            </w14:solidFill>
          </w14:textFill>
        </w:rPr>
        <w:t>大中型客车</w:t>
      </w:r>
      <w:r>
        <w:rPr>
          <w:rFonts w:hint="eastAsia" w:ascii="Calibri" w:hAnsi="Calibri" w:eastAsia="宋体" w:cs="Times New Roman"/>
          <w:color w:val="000000" w:themeColor="text1"/>
          <w:sz w:val="24"/>
          <w:lang w:eastAsia="zh-CN"/>
          <w14:textFill>
            <w14:solidFill>
              <w14:schemeClr w14:val="tx1"/>
            </w14:solidFill>
          </w14:textFill>
        </w:rPr>
        <w:t>（</w:t>
      </w:r>
      <w:r>
        <w:rPr>
          <w:rFonts w:hint="eastAsia" w:ascii="Calibri" w:hAnsi="Calibri" w:eastAsia="宋体" w:cs="Times New Roman"/>
          <w:color w:val="000000" w:themeColor="text1"/>
          <w:sz w:val="24"/>
          <w:lang w:val="en-US" w:eastAsia="zh-CN"/>
          <w14:textFill>
            <w14:solidFill>
              <w14:schemeClr w14:val="tx1"/>
            </w14:solidFill>
          </w14:textFill>
        </w:rPr>
        <w:t>17座</w:t>
      </w:r>
      <w:r>
        <w:rPr>
          <w:rFonts w:hint="eastAsia" w:ascii="Calibri" w:hAnsi="Calibri" w:eastAsia="宋体" w:cs="Times New Roman"/>
          <w:color w:val="000000" w:themeColor="text1"/>
          <w:sz w:val="24"/>
          <w:lang w:eastAsia="zh-CN"/>
          <w14:textFill>
            <w14:solidFill>
              <w14:schemeClr w14:val="tx1"/>
            </w14:solidFill>
          </w14:textFill>
        </w:rPr>
        <w:t>）</w:t>
      </w:r>
      <w:r>
        <w:rPr>
          <w:rFonts w:hint="eastAsia" w:ascii="Calibri" w:hAnsi="Calibri" w:eastAsia="宋体" w:cs="Times New Roman"/>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  计量单位</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辆   数量：1</w:t>
      </w:r>
    </w:p>
    <w:p>
      <w:pPr>
        <w:widowControl/>
        <w:shd w:val="clear" w:color="auto" w:fill="FFFFFF"/>
        <w:spacing w:line="48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单价（元）</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45万元  该品目预算(元)：45万元</w:t>
      </w:r>
    </w:p>
    <w:p>
      <w:pPr>
        <w:widowControl/>
        <w:shd w:val="clear" w:color="auto" w:fill="FFFFFF"/>
        <w:spacing w:line="48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品目信息三</w:t>
      </w:r>
    </w:p>
    <w:p>
      <w:pPr>
        <w:widowControl/>
        <w:shd w:val="clear" w:color="auto" w:fill="FFFFFF"/>
        <w:spacing w:line="48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标的名称：新能源轿车</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5座</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 xml:space="preserve">  计量单位</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辆   数量：1</w:t>
      </w:r>
    </w:p>
    <w:p>
      <w:pPr>
        <w:widowControl/>
        <w:shd w:val="clear" w:color="auto" w:fill="FFFFFF"/>
        <w:spacing w:line="48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单价（元）</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18万元  该品目预算(元)：18万元</w:t>
      </w:r>
    </w:p>
    <w:p>
      <w:pPr>
        <w:widowControl/>
        <w:shd w:val="clear" w:color="auto" w:fill="FFFFFF"/>
        <w:spacing w:line="48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所属</w:t>
      </w:r>
      <w:r>
        <w:rPr>
          <w:color w:val="000000" w:themeColor="text1"/>
          <w:sz w:val="24"/>
          <w14:textFill>
            <w14:solidFill>
              <w14:schemeClr w14:val="tx1"/>
            </w14:solidFill>
          </w14:textFill>
        </w:rPr>
        <w:t>行业：</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农、林、牧、渔业  </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color w:val="000000" w:themeColor="text1"/>
          <w:sz w:val="24"/>
          <w14:textFill>
            <w14:solidFill>
              <w14:schemeClr w14:val="tx1"/>
            </w14:solidFill>
          </w14:textFill>
        </w:rPr>
        <w:t xml:space="preserve">工业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建筑业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批发业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零售业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交通运输业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仓储业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邮政业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住宿业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餐饮业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信息传输业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软件和信息技术服务业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房地产开发经营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物业管理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 xml:space="preserve">租赁和商务服务业  </w:t>
      </w:r>
      <w:r>
        <w:rPr>
          <w:rFonts w:hint="eastAsia" w:ascii="宋体" w:hAnsi="宋体" w:eastAsia="宋体" w:cs="宋体"/>
          <w:color w:val="000000" w:themeColor="text1"/>
          <w:kern w:val="0"/>
          <w:sz w:val="24"/>
          <w:szCs w:val="24"/>
          <w14:textFill>
            <w14:solidFill>
              <w14:schemeClr w14:val="tx1"/>
            </w14:solidFill>
          </w14:textFill>
        </w:rPr>
        <w:t>□</w:t>
      </w:r>
      <w:r>
        <w:rPr>
          <w:rFonts w:hint="eastAsia"/>
          <w:color w:val="000000" w:themeColor="text1"/>
          <w:sz w:val="24"/>
          <w14:textFill>
            <w14:solidFill>
              <w14:schemeClr w14:val="tx1"/>
            </w14:solidFill>
          </w14:textFill>
        </w:rPr>
        <w:t>其他未列明行业</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color w:val="000000" w:themeColor="text1"/>
          <w:sz w:val="24"/>
          <w14:textFill>
            <w14:solidFill>
              <w14:schemeClr w14:val="tx1"/>
            </w14:solidFill>
          </w14:textFill>
        </w:rPr>
        <w:t>节能</w:t>
      </w:r>
      <w:r>
        <w:rPr>
          <w:color w:val="000000" w:themeColor="text1"/>
          <w:sz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 xml:space="preserve">是   □否            </w:t>
      </w:r>
      <w:r>
        <w:rPr>
          <w:rFonts w:hint="eastAsia"/>
          <w:color w:val="000000" w:themeColor="text1"/>
          <w:sz w:val="24"/>
          <w14:textFill>
            <w14:solidFill>
              <w14:schemeClr w14:val="tx1"/>
            </w14:solidFill>
          </w14:textFill>
        </w:rPr>
        <w:t>环保</w:t>
      </w:r>
      <w:r>
        <w:rPr>
          <w:color w:val="000000" w:themeColor="text1"/>
          <w:sz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是   □否</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属于</w:t>
      </w:r>
      <w:r>
        <w:rPr>
          <w:rFonts w:ascii="宋体" w:hAnsi="宋体" w:eastAsia="宋体" w:cs="宋体"/>
          <w:color w:val="000000" w:themeColor="text1"/>
          <w:kern w:val="0"/>
          <w:sz w:val="24"/>
          <w:szCs w:val="24"/>
          <w14:textFill>
            <w14:solidFill>
              <w14:schemeClr w14:val="tx1"/>
            </w14:solidFill>
          </w14:textFill>
        </w:rPr>
        <w:t>核心产品：</w:t>
      </w:r>
      <w:r>
        <w:rPr>
          <w:rFonts w:hint="eastAsia" w:ascii="宋体" w:hAnsi="宋体" w:eastAsia="宋体" w:cs="宋体"/>
          <w:color w:val="000000" w:themeColor="text1"/>
          <w:kern w:val="0"/>
          <w:sz w:val="24"/>
          <w:szCs w:val="24"/>
          <w14:textFill>
            <w14:solidFill>
              <w14:schemeClr w14:val="tx1"/>
            </w14:solidFill>
          </w14:textFill>
        </w:rPr>
        <w:t xml:space="preserve">□是   </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否</w:t>
      </w:r>
    </w:p>
    <w:p>
      <w:pPr>
        <w:widowControl/>
        <w:shd w:val="clear" w:color="auto" w:fill="FFFFFF"/>
        <w:spacing w:line="480" w:lineRule="auto"/>
        <w:ind w:firstLine="420"/>
        <w:rPr>
          <w:color w:val="000000" w:themeColor="text1"/>
          <w:sz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功能和质量要求 ：</w:t>
      </w:r>
    </w:p>
    <w:p>
      <w:pPr>
        <w:widowControl/>
        <w:shd w:val="clear" w:color="auto" w:fill="FFFFFF"/>
        <w:spacing w:line="480" w:lineRule="auto"/>
        <w:ind w:firstLine="420"/>
        <w:rPr>
          <w:color w:val="000000" w:themeColor="text1"/>
          <w:sz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通过西华大学后勤服务总公司公务用车购置的实施，补充完善西华大学车辆，满足日益增长的用车需求，更好的为全校师生做好后勤服务。</w:t>
      </w:r>
    </w:p>
    <w:p>
      <w:pPr>
        <w:widowControl/>
        <w:shd w:val="clear" w:color="auto" w:fill="FFFFFF"/>
        <w:spacing w:line="480" w:lineRule="auto"/>
        <w:ind w:firstLine="4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注：如有</w:t>
      </w:r>
      <w:r>
        <w:rPr>
          <w:color w:val="000000" w:themeColor="text1"/>
          <w:sz w:val="24"/>
          <w14:textFill>
            <w14:solidFill>
              <w14:schemeClr w14:val="tx1"/>
            </w14:solidFill>
          </w14:textFill>
        </w:rPr>
        <w:t>多个</w:t>
      </w:r>
      <w:r>
        <w:rPr>
          <w:rFonts w:hint="eastAsia"/>
          <w:color w:val="000000" w:themeColor="text1"/>
          <w:sz w:val="24"/>
          <w14:textFill>
            <w14:solidFill>
              <w14:schemeClr w14:val="tx1"/>
            </w14:solidFill>
          </w14:textFill>
        </w:rPr>
        <w:t>标的，各</w:t>
      </w:r>
      <w:r>
        <w:rPr>
          <w:color w:val="000000" w:themeColor="text1"/>
          <w:sz w:val="24"/>
          <w14:textFill>
            <w14:solidFill>
              <w14:schemeClr w14:val="tx1"/>
            </w14:solidFill>
          </w14:textFill>
        </w:rPr>
        <w:t>标的品目</w:t>
      </w:r>
      <w:r>
        <w:rPr>
          <w:rFonts w:hint="eastAsia"/>
          <w:color w:val="000000" w:themeColor="text1"/>
          <w:sz w:val="24"/>
          <w14:textFill>
            <w14:solidFill>
              <w14:schemeClr w14:val="tx1"/>
            </w14:solidFill>
          </w14:textFill>
        </w:rPr>
        <w:t>预算相加</w:t>
      </w:r>
      <w:r>
        <w:rPr>
          <w:color w:val="000000" w:themeColor="text1"/>
          <w:sz w:val="24"/>
          <w14:textFill>
            <w14:solidFill>
              <w14:schemeClr w14:val="tx1"/>
            </w14:solidFill>
          </w14:textFill>
        </w:rPr>
        <w:t>应等于</w:t>
      </w:r>
      <w:r>
        <w:rPr>
          <w:rFonts w:hint="eastAsia"/>
          <w:color w:val="000000" w:themeColor="text1"/>
          <w:sz w:val="24"/>
          <w14:textFill>
            <w14:solidFill>
              <w14:schemeClr w14:val="tx1"/>
            </w14:solidFill>
          </w14:textFill>
        </w:rPr>
        <w:t>该</w:t>
      </w:r>
      <w:r>
        <w:rPr>
          <w:color w:val="000000" w:themeColor="text1"/>
          <w:sz w:val="24"/>
          <w14:textFill>
            <w14:solidFill>
              <w14:schemeClr w14:val="tx1"/>
            </w14:solidFill>
          </w14:textFill>
        </w:rPr>
        <w:t>包</w:t>
      </w:r>
      <w:r>
        <w:rPr>
          <w:rFonts w:hint="eastAsia"/>
          <w:color w:val="000000" w:themeColor="text1"/>
          <w:sz w:val="24"/>
          <w14:textFill>
            <w14:solidFill>
              <w14:schemeClr w14:val="tx1"/>
            </w14:solidFill>
          </w14:textFill>
        </w:rPr>
        <w:t>总预算（最高</w:t>
      </w:r>
      <w:r>
        <w:rPr>
          <w:color w:val="000000" w:themeColor="text1"/>
          <w:sz w:val="24"/>
          <w14:textFill>
            <w14:solidFill>
              <w14:schemeClr w14:val="tx1"/>
            </w14:solidFill>
          </w14:textFill>
        </w:rPr>
        <w:t>限价</w:t>
      </w:r>
      <w:r>
        <w:rPr>
          <w:rFonts w:hint="eastAsia"/>
          <w:color w:val="000000" w:themeColor="text1"/>
          <w:sz w:val="24"/>
          <w14:textFill>
            <w14:solidFill>
              <w14:schemeClr w14:val="tx1"/>
            </w14:solidFill>
          </w14:textFill>
        </w:rPr>
        <w:t>）。</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（五）执行政府采购促进中小企业发展的相关政策</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1.□专门面向中小企业采购   </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不专门面向中小企业采购</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面向的企业规模：□中小企业   □小微企业</w:t>
      </w:r>
    </w:p>
    <w:p>
      <w:pPr>
        <w:widowControl/>
        <w:shd w:val="clear" w:color="auto" w:fill="FFFFFF"/>
        <w:spacing w:line="480" w:lineRule="auto"/>
        <w:ind w:left="315" w:leftChars="150"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预留形式：□项目整体预留  □设置专门采购包  □以联合体形式参加  □要求合同分包</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预留比例：    %</w:t>
      </w:r>
    </w:p>
    <w:p>
      <w:pPr>
        <w:widowControl/>
        <w:shd w:val="clear" w:color="auto" w:fill="FFFFFF"/>
        <w:spacing w:line="480" w:lineRule="auto"/>
        <w:ind w:firstLine="840" w:firstLineChars="35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不专门面向的原因：</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□法律法规和国家有关政策明确规定优先或者应当面向事业单位、社会组织等非企业主体采购的</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因确需使用不可替代的专利、专有技术，基础设施限制，或者提供特定公共服务等原因，只能从中小企业之外的供应商处采购的</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□按照本办法规定预留采购份额无法确保充分供应、充分竞争，或者存在可能影响政府采购目标实现的情形</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□框架协议采购项目</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□省级以上人民政府财政部门规定的其他情形</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iCs/>
          <w:color w:val="000000" w:themeColor="text1"/>
          <w:kern w:val="0"/>
          <w:sz w:val="24"/>
          <w:szCs w:val="24"/>
          <w14:textFill>
            <w14:solidFill>
              <w14:schemeClr w14:val="tx1"/>
            </w14:solidFill>
          </w14:textFill>
        </w:rPr>
        <w:t>注：监狱企业和残疾人福利单位视同小微企业。</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（六）是否采购环境标识产品：是</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 xml:space="preserve">  否□</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（七）是否采购节能产品：是</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 xml:space="preserve">  否□</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（八）项目的采购标的是否包含进口产品：是□  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pPr>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（九）采购标的是否属于政府购买服务：是□（填以下信息） 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pPr>
        <w:ind w:firstLine="600" w:firstLineChars="25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政府购买服务的分类：□政府履职所需辅助性服务 □政府向社会公众提供的公共服务</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（十）是否属于政务信息系统项目：是□  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（十一）是否属于高校、科研院所的科研仪器设备采购：是□  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（十二）是否属于PPP项目：是□  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pPr>
        <w:widowControl/>
        <w:shd w:val="clear" w:color="auto" w:fill="FFFFFF"/>
        <w:spacing w:line="480" w:lineRule="auto"/>
        <w:outlineLvl w:val="2"/>
        <w:rPr>
          <w:rFonts w:ascii="宋体" w:hAnsi="宋体" w:eastAsia="宋体" w:cs="宋体"/>
          <w:b/>
          <w:bCs/>
          <w:color w:val="000000" w:themeColor="text1"/>
          <w:kern w:val="0"/>
          <w:sz w:val="27"/>
          <w:szCs w:val="27"/>
          <w14:textFill>
            <w14:solidFill>
              <w14:schemeClr w14:val="tx1"/>
            </w14:solidFill>
          </w14:textFill>
        </w:rPr>
      </w:pPr>
      <w:r>
        <w:rPr>
          <w:rFonts w:hint="eastAsia" w:ascii="宋体" w:hAnsi="宋体" w:eastAsia="宋体" w:cs="宋体"/>
          <w:b/>
          <w:bCs/>
          <w:color w:val="000000" w:themeColor="text1"/>
          <w:kern w:val="0"/>
          <w:sz w:val="27"/>
          <w:szCs w:val="27"/>
          <w14:textFill>
            <w14:solidFill>
              <w14:schemeClr w14:val="tx1"/>
            </w14:solidFill>
          </w14:textFill>
        </w:rPr>
        <w:t>四、项目需求及分包情况、采购标的</w:t>
      </w:r>
    </w:p>
    <w:p>
      <w:pPr>
        <w:widowControl/>
        <w:shd w:val="clear" w:color="auto" w:fill="FFFFFF"/>
        <w:spacing w:line="480" w:lineRule="auto"/>
        <w:ind w:firstLine="420"/>
        <w:outlineLvl w:val="4"/>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供应商</w:t>
      </w:r>
      <w:r>
        <w:rPr>
          <w:rFonts w:ascii="宋体" w:hAnsi="宋体" w:eastAsia="宋体" w:cs="宋体"/>
          <w:bCs/>
          <w:color w:val="000000" w:themeColor="text1"/>
          <w:kern w:val="0"/>
          <w:sz w:val="24"/>
          <w:szCs w:val="24"/>
          <w14:textFill>
            <w14:solidFill>
              <w14:schemeClr w14:val="tx1"/>
            </w14:solidFill>
          </w14:textFill>
        </w:rPr>
        <w:t>一般资格要求：</w:t>
      </w:r>
    </w:p>
    <w:tbl>
      <w:tblPr>
        <w:tblStyle w:val="5"/>
        <w:tblW w:w="10875" w:type="dxa"/>
        <w:jc w:val="center"/>
        <w:shd w:val="clear" w:color="auto" w:fill="FFFFFF"/>
        <w:tblLayout w:type="autofit"/>
        <w:tblCellMar>
          <w:top w:w="0" w:type="dxa"/>
          <w:left w:w="0" w:type="dxa"/>
          <w:bottom w:w="0" w:type="dxa"/>
          <w:right w:w="0" w:type="dxa"/>
        </w:tblCellMar>
      </w:tblPr>
      <w:tblGrid>
        <w:gridCol w:w="481"/>
        <w:gridCol w:w="4806"/>
        <w:gridCol w:w="5588"/>
      </w:tblGrid>
      <w:tr>
        <w:tblPrEx>
          <w:shd w:val="clear" w:color="auto" w:fill="FFFFFF"/>
          <w:tblCellMar>
            <w:top w:w="0" w:type="dxa"/>
            <w:left w:w="0" w:type="dxa"/>
            <w:bottom w:w="0" w:type="dxa"/>
            <w:right w:w="0" w:type="dxa"/>
          </w:tblCellMar>
        </w:tblPrEx>
        <w:trPr>
          <w:trHeight w:val="480" w:hRule="atLeast"/>
          <w:jc w:val="center"/>
        </w:trPr>
        <w:tc>
          <w:tcPr>
            <w:tcW w:w="482"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pPr>
              <w:widowControl/>
              <w:spacing w:line="360" w:lineRule="atLeast"/>
              <w:jc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序号</w:t>
            </w:r>
          </w:p>
        </w:tc>
        <w:tc>
          <w:tcPr>
            <w:tcW w:w="4805"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pPr>
              <w:widowControl/>
              <w:spacing w:line="360" w:lineRule="atLeast"/>
              <w:jc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资格要求名称</w:t>
            </w:r>
          </w:p>
        </w:tc>
        <w:tc>
          <w:tcPr>
            <w:tcW w:w="5588"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pPr>
              <w:widowControl/>
              <w:spacing w:line="360" w:lineRule="atLeast"/>
              <w:jc w:val="center"/>
              <w:rPr>
                <w:rFonts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资格要求详细说明</w:t>
            </w:r>
          </w:p>
        </w:tc>
      </w:tr>
      <w:tr>
        <w:tblPrEx>
          <w:shd w:val="clear" w:color="auto" w:fill="FFFFFF"/>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投标人应具有独立承担民事责任的能力</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tblPrEx>
          <w:shd w:val="clear" w:color="auto" w:fill="FFFFFF"/>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tblPrEx>
          <w:shd w:val="clear" w:color="auto" w:fill="FFFFFF"/>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未被列入失信被执行人、重大税收违法案件当事人名单、政府采购严重违法失信行为记录名单</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tblPrEx>
          <w:shd w:val="clear" w:color="auto" w:fill="FFFFFF"/>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未处于被行政部门禁止参与政府采购活动的期限内</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投标人未处于被行政部门禁止参与政府采购活动的期限内。 【说明：①投标人按招标文件要求提供书面声明材料；②投标人未处于被行政部门禁止参与政府采购活动的期限内。】</w:t>
            </w:r>
          </w:p>
        </w:tc>
      </w:tr>
      <w:tr>
        <w:tblPrEx>
          <w:shd w:val="clear" w:color="auto" w:fill="FFFFFF"/>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行贿犯罪记录</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tblPrEx>
          <w:shd w:val="clear" w:color="auto" w:fill="FFFFFF"/>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单位负责人为同一人或者存在直接控股、管理关系的不同供应商，不得参加同一项目的投标</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tblPrEx>
          <w:shd w:val="clear" w:color="auto" w:fill="FFFFFF"/>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投标文件签章</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投标文件加盖有投标人（法定名称）电子签章。【说明：无须提供证明材料，上传空白页即可，不对本项上传的材料作资格审查】</w:t>
            </w:r>
          </w:p>
        </w:tc>
      </w:tr>
      <w:tr>
        <w:tblPrEx>
          <w:shd w:val="clear" w:color="auto" w:fill="FFFFFF"/>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投标文件资格响应文件的语言</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语言符合招标文件的要求。 【说明：投标人无须提供证明材料，上传空白页即可，不对本项上传的材料作资格审查】</w:t>
            </w:r>
          </w:p>
        </w:tc>
      </w:tr>
      <w:tr>
        <w:tblPrEx>
          <w:shd w:val="clear" w:color="auto" w:fill="FFFFFF"/>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法律、行政法规规定的其他条件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采购人对法律、行政法规规定的其他条件无其他特殊要求，投标人可不提供证明材料。 【说明：投标人无须提供证明材料，上传空白页即可，不对本项上传的材料作资格审查】</w:t>
            </w:r>
          </w:p>
        </w:tc>
      </w:tr>
      <w:tr>
        <w:tblPrEx>
          <w:shd w:val="clear" w:color="auto" w:fill="FFFFFF"/>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10</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不属于国家相关法律法规规定的其他禁止参加投标的情形</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pPr>
        <w:widowControl/>
        <w:shd w:val="clear" w:color="auto" w:fill="FFFFFF"/>
        <w:spacing w:line="480" w:lineRule="auto"/>
        <w:ind w:firstLine="420"/>
        <w:outlineLvl w:val="4"/>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供应商特殊资格要求（如有）：</w:t>
      </w:r>
    </w:p>
    <w:tbl>
      <w:tblPr>
        <w:tblStyle w:val="6"/>
        <w:tblW w:w="10915"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4678"/>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widowControl/>
              <w:spacing w:line="480" w:lineRule="auto"/>
              <w:outlineLvl w:val="4"/>
              <w:rPr>
                <w:rFonts w:ascii="宋体" w:hAnsi="宋体" w:eastAsia="宋体" w:cs="宋体"/>
                <w:bCs/>
                <w:color w:val="000000" w:themeColor="text1"/>
                <w:kern w:val="0"/>
                <w:sz w:val="24"/>
                <w:szCs w:val="24"/>
                <w14:textFill>
                  <w14:solidFill>
                    <w14:schemeClr w14:val="tx1"/>
                  </w14:solidFill>
                </w14:textFill>
              </w:rPr>
            </w:pPr>
            <w:r>
              <w:rPr>
                <w:rFonts w:ascii="宋体" w:hAnsi="宋体" w:eastAsia="宋体" w:cs="宋体"/>
                <w:b/>
                <w:bCs/>
                <w:color w:val="000000" w:themeColor="text1"/>
                <w:kern w:val="0"/>
                <w:sz w:val="24"/>
                <w:szCs w:val="24"/>
                <w14:textFill>
                  <w14:solidFill>
                    <w14:schemeClr w14:val="tx1"/>
                  </w14:solidFill>
                </w14:textFill>
              </w:rPr>
              <w:t>序号</w:t>
            </w:r>
          </w:p>
        </w:tc>
        <w:tc>
          <w:tcPr>
            <w:tcW w:w="4678" w:type="dxa"/>
          </w:tcPr>
          <w:p>
            <w:pPr>
              <w:widowControl/>
              <w:spacing w:line="480" w:lineRule="auto"/>
              <w:jc w:val="center"/>
              <w:outlineLvl w:val="4"/>
              <w:rPr>
                <w:rFonts w:ascii="宋体" w:hAnsi="宋体" w:eastAsia="宋体" w:cs="宋体"/>
                <w:bCs/>
                <w:color w:val="000000" w:themeColor="text1"/>
                <w:kern w:val="0"/>
                <w:sz w:val="24"/>
                <w:szCs w:val="24"/>
                <w14:textFill>
                  <w14:solidFill>
                    <w14:schemeClr w14:val="tx1"/>
                  </w14:solidFill>
                </w14:textFill>
              </w:rPr>
            </w:pPr>
            <w:r>
              <w:rPr>
                <w:rFonts w:ascii="宋体" w:hAnsi="宋体" w:eastAsia="宋体" w:cs="宋体"/>
                <w:b/>
                <w:bCs/>
                <w:color w:val="000000" w:themeColor="text1"/>
                <w:kern w:val="0"/>
                <w:sz w:val="24"/>
                <w:szCs w:val="24"/>
                <w14:textFill>
                  <w14:solidFill>
                    <w14:schemeClr w14:val="tx1"/>
                  </w14:solidFill>
                </w14:textFill>
              </w:rPr>
              <w:t>资格要求名称</w:t>
            </w:r>
          </w:p>
        </w:tc>
        <w:tc>
          <w:tcPr>
            <w:tcW w:w="5528" w:type="dxa"/>
          </w:tcPr>
          <w:p>
            <w:pPr>
              <w:widowControl/>
              <w:spacing w:line="480" w:lineRule="auto"/>
              <w:jc w:val="center"/>
              <w:outlineLvl w:val="4"/>
              <w:rPr>
                <w:rFonts w:ascii="宋体" w:hAnsi="宋体" w:eastAsia="宋体" w:cs="宋体"/>
                <w:bCs/>
                <w:color w:val="000000" w:themeColor="text1"/>
                <w:kern w:val="0"/>
                <w:sz w:val="24"/>
                <w:szCs w:val="24"/>
                <w14:textFill>
                  <w14:solidFill>
                    <w14:schemeClr w14:val="tx1"/>
                  </w14:solidFill>
                </w14:textFill>
              </w:rPr>
            </w:pPr>
            <w:r>
              <w:rPr>
                <w:rFonts w:ascii="宋体" w:hAnsi="宋体" w:eastAsia="宋体" w:cs="宋体"/>
                <w:b/>
                <w:bCs/>
                <w:color w:val="000000" w:themeColor="text1"/>
                <w:kern w:val="0"/>
                <w:sz w:val="24"/>
                <w:szCs w:val="24"/>
                <w14:textFill>
                  <w14:solidFill>
                    <w14:schemeClr w14:val="tx1"/>
                  </w14:solidFill>
                </w14:textFill>
              </w:rPr>
              <w:t>资格要求详细说明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widowControl/>
              <w:spacing w:line="480" w:lineRule="auto"/>
              <w:outlineLvl w:val="4"/>
              <w:rPr>
                <w:rFonts w:ascii="宋体" w:hAnsi="宋体" w:eastAsia="宋体" w:cs="宋体"/>
                <w:bCs/>
                <w:color w:val="000000" w:themeColor="text1"/>
                <w:kern w:val="0"/>
                <w:sz w:val="24"/>
                <w:szCs w:val="24"/>
                <w14:textFill>
                  <w14:solidFill>
                    <w14:schemeClr w14:val="tx1"/>
                  </w14:solidFill>
                </w14:textFill>
              </w:rPr>
            </w:pPr>
          </w:p>
        </w:tc>
        <w:tc>
          <w:tcPr>
            <w:tcW w:w="4678" w:type="dxa"/>
          </w:tcPr>
          <w:p>
            <w:pPr>
              <w:widowControl/>
              <w:spacing w:line="480" w:lineRule="auto"/>
              <w:outlineLvl w:val="4"/>
              <w:rPr>
                <w:rFonts w:ascii="宋体" w:hAnsi="宋体" w:eastAsia="宋体" w:cs="宋体"/>
                <w:bCs/>
                <w:color w:val="000000" w:themeColor="text1"/>
                <w:kern w:val="0"/>
                <w:sz w:val="24"/>
                <w:szCs w:val="24"/>
                <w14:textFill>
                  <w14:solidFill>
                    <w14:schemeClr w14:val="tx1"/>
                  </w14:solidFill>
                </w14:textFill>
              </w:rPr>
            </w:pPr>
          </w:p>
        </w:tc>
        <w:tc>
          <w:tcPr>
            <w:tcW w:w="5528" w:type="dxa"/>
          </w:tcPr>
          <w:p>
            <w:pPr>
              <w:widowControl/>
              <w:spacing w:line="480" w:lineRule="auto"/>
              <w:outlineLvl w:val="4"/>
              <w:rPr>
                <w:rFonts w:ascii="宋体" w:hAnsi="宋体" w:eastAsia="宋体" w:cs="宋体"/>
                <w:bCs/>
                <w:color w:val="000000" w:themeColor="text1"/>
                <w:kern w:val="0"/>
                <w:sz w:val="24"/>
                <w:szCs w:val="24"/>
                <w14:textFill>
                  <w14:solidFill>
                    <w14:schemeClr w14:val="tx1"/>
                  </w14:solidFill>
                </w14:textFill>
              </w:rPr>
            </w:pPr>
          </w:p>
        </w:tc>
      </w:tr>
    </w:tbl>
    <w:p>
      <w:pPr>
        <w:widowControl/>
        <w:shd w:val="clear" w:color="auto" w:fill="FFFFFF"/>
        <w:spacing w:line="480" w:lineRule="auto"/>
        <w:ind w:firstLine="420"/>
        <w:outlineLvl w:val="4"/>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技术要求与标准：</w:t>
      </w:r>
    </w:p>
    <w:p>
      <w:pPr>
        <w:widowControl/>
        <w:shd w:val="clear" w:color="auto" w:fill="FFFFFF"/>
        <w:spacing w:line="480" w:lineRule="auto"/>
        <w:ind w:firstLine="420"/>
        <w:outlineLvl w:val="4"/>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p>
      <w:pPr>
        <w:widowControl/>
        <w:shd w:val="clear" w:color="auto" w:fill="FFFFFF"/>
        <w:spacing w:line="480" w:lineRule="auto"/>
        <w:ind w:firstLine="420"/>
        <w:outlineLvl w:val="4"/>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大中型客车</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48座</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的</w:t>
      </w:r>
      <w:r>
        <w:rPr>
          <w:color w:val="000000" w:themeColor="text1"/>
          <w:sz w:val="24"/>
          <w14:textFill>
            <w14:solidFill>
              <w14:schemeClr w14:val="tx1"/>
            </w14:solidFill>
          </w14:textFill>
        </w:rPr>
        <w:t>标的参数：</w:t>
      </w:r>
    </w:p>
    <w:tbl>
      <w:tblPr>
        <w:tblStyle w:val="5"/>
        <w:tblW w:w="5000" w:type="pct"/>
        <w:tblInd w:w="0" w:type="dxa"/>
        <w:tblLayout w:type="fixed"/>
        <w:tblCellMar>
          <w:top w:w="0" w:type="dxa"/>
          <w:left w:w="108" w:type="dxa"/>
          <w:bottom w:w="0" w:type="dxa"/>
          <w:right w:w="108" w:type="dxa"/>
        </w:tblCellMar>
      </w:tblPr>
      <w:tblGrid>
        <w:gridCol w:w="1738"/>
        <w:gridCol w:w="2958"/>
        <w:gridCol w:w="2443"/>
        <w:gridCol w:w="1383"/>
      </w:tblGrid>
      <w:tr>
        <w:tblPrEx>
          <w:tblCellMar>
            <w:top w:w="0" w:type="dxa"/>
            <w:left w:w="108" w:type="dxa"/>
            <w:bottom w:w="0" w:type="dxa"/>
            <w:right w:w="108" w:type="dxa"/>
          </w:tblCellMar>
        </w:tblPrEx>
        <w:trPr>
          <w:trHeight w:val="270" w:hRule="atLeast"/>
        </w:trPr>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变速器类型</w:t>
            </w:r>
          </w:p>
        </w:tc>
        <w:tc>
          <w:tcPr>
            <w:tcW w:w="173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手动</w:t>
            </w:r>
          </w:p>
        </w:tc>
        <w:tc>
          <w:tcPr>
            <w:tcW w:w="143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变速器前进档档数</w:t>
            </w:r>
          </w:p>
        </w:tc>
        <w:tc>
          <w:tcPr>
            <w:tcW w:w="81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lang w:val="en-US" w:eastAsia="zh-CN"/>
                <w14:textFill>
                  <w14:solidFill>
                    <w14:schemeClr w14:val="tx1"/>
                  </w14:solidFill>
                </w14:textFill>
              </w:rPr>
              <w:t>5</w:t>
            </w:r>
            <w:r>
              <w:rPr>
                <w:rFonts w:hint="eastAsia" w:ascii="宋体" w:hAnsi="宋体" w:eastAsia="宋体" w:cs="宋体"/>
                <w:color w:val="000000" w:themeColor="text1"/>
                <w:kern w:val="0"/>
                <w:sz w:val="22"/>
                <w14:textFill>
                  <w14:solidFill>
                    <w14:schemeClr w14:val="tx1"/>
                  </w14:solidFill>
                </w14:textFill>
              </w:rPr>
              <w:t>档</w:t>
            </w:r>
          </w:p>
        </w:tc>
      </w:tr>
      <w:tr>
        <w:tblPrEx>
          <w:tblCellMar>
            <w:top w:w="0" w:type="dxa"/>
            <w:left w:w="108" w:type="dxa"/>
            <w:bottom w:w="0" w:type="dxa"/>
            <w:right w:w="108" w:type="dxa"/>
          </w:tblCellMar>
        </w:tblPrEx>
        <w:trPr>
          <w:trHeight w:val="270" w:hRule="atLeast"/>
        </w:trPr>
        <w:tc>
          <w:tcPr>
            <w:tcW w:w="101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车身长度</w:t>
            </w:r>
          </w:p>
        </w:tc>
        <w:tc>
          <w:tcPr>
            <w:tcW w:w="173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10米以上</w:t>
            </w:r>
          </w:p>
        </w:tc>
        <w:tc>
          <w:tcPr>
            <w:tcW w:w="14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发动机或电动机位置</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后置</w:t>
            </w:r>
          </w:p>
        </w:tc>
      </w:tr>
      <w:tr>
        <w:tblPrEx>
          <w:tblCellMar>
            <w:top w:w="0" w:type="dxa"/>
            <w:left w:w="108" w:type="dxa"/>
            <w:bottom w:w="0" w:type="dxa"/>
            <w:right w:w="108" w:type="dxa"/>
          </w:tblCellMar>
        </w:tblPrEx>
        <w:trPr>
          <w:trHeight w:val="270" w:hRule="atLeast"/>
        </w:trPr>
        <w:tc>
          <w:tcPr>
            <w:tcW w:w="101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环保排放标准</w:t>
            </w:r>
          </w:p>
        </w:tc>
        <w:tc>
          <w:tcPr>
            <w:tcW w:w="173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国六</w:t>
            </w:r>
          </w:p>
        </w:tc>
        <w:tc>
          <w:tcPr>
            <w:tcW w:w="14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燃料类型</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柴油</w:t>
            </w:r>
          </w:p>
        </w:tc>
      </w:tr>
      <w:tr>
        <w:tblPrEx>
          <w:tblCellMar>
            <w:top w:w="0" w:type="dxa"/>
            <w:left w:w="108" w:type="dxa"/>
            <w:bottom w:w="0" w:type="dxa"/>
            <w:right w:w="108" w:type="dxa"/>
          </w:tblCellMar>
        </w:tblPrEx>
        <w:trPr>
          <w:trHeight w:val="270" w:hRule="atLeast"/>
        </w:trPr>
        <w:tc>
          <w:tcPr>
            <w:tcW w:w="101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原产地类型</w:t>
            </w:r>
          </w:p>
        </w:tc>
        <w:tc>
          <w:tcPr>
            <w:tcW w:w="173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c>
          <w:tcPr>
            <w:tcW w:w="14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载客核准数（位）</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48位</w:t>
            </w:r>
          </w:p>
        </w:tc>
      </w:tr>
      <w:tr>
        <w:tblPrEx>
          <w:tblCellMar>
            <w:top w:w="0" w:type="dxa"/>
            <w:left w:w="108" w:type="dxa"/>
            <w:bottom w:w="0" w:type="dxa"/>
            <w:right w:w="108" w:type="dxa"/>
          </w:tblCellMar>
        </w:tblPrEx>
        <w:trPr>
          <w:trHeight w:val="270" w:hRule="atLeast"/>
        </w:trPr>
        <w:tc>
          <w:tcPr>
            <w:tcW w:w="101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0-100加速时间（S）</w:t>
            </w:r>
          </w:p>
        </w:tc>
        <w:tc>
          <w:tcPr>
            <w:tcW w:w="173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c>
          <w:tcPr>
            <w:tcW w:w="14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安全带</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伸缩式</w:t>
            </w:r>
          </w:p>
        </w:tc>
      </w:tr>
      <w:tr>
        <w:tblPrEx>
          <w:tblCellMar>
            <w:top w:w="0" w:type="dxa"/>
            <w:left w:w="108" w:type="dxa"/>
            <w:bottom w:w="0" w:type="dxa"/>
            <w:right w:w="108" w:type="dxa"/>
          </w:tblCellMar>
        </w:tblPrEx>
        <w:trPr>
          <w:trHeight w:val="270" w:hRule="atLeast"/>
        </w:trPr>
        <w:tc>
          <w:tcPr>
            <w:tcW w:w="101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安全气囊</w:t>
            </w:r>
          </w:p>
        </w:tc>
        <w:tc>
          <w:tcPr>
            <w:tcW w:w="173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c>
          <w:tcPr>
            <w:tcW w:w="14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车窗形式</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车辆续驶里程（KM）</w:t>
            </w:r>
          </w:p>
        </w:tc>
        <w:tc>
          <w:tcPr>
            <w:tcW w:w="173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c>
          <w:tcPr>
            <w:tcW w:w="143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车门数（个）</w:t>
            </w:r>
          </w:p>
        </w:tc>
        <w:tc>
          <w:tcPr>
            <w:tcW w:w="81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3个</w:t>
            </w:r>
          </w:p>
        </w:tc>
      </w:tr>
      <w:tr>
        <w:tblPrEx>
          <w:tblCellMar>
            <w:top w:w="0" w:type="dxa"/>
            <w:left w:w="108" w:type="dxa"/>
            <w:bottom w:w="0" w:type="dxa"/>
            <w:right w:w="108" w:type="dxa"/>
          </w:tblCellMar>
        </w:tblPrEx>
        <w:trPr>
          <w:trHeight w:val="270" w:hRule="atLeast"/>
        </w:trPr>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车门形式</w:t>
            </w:r>
          </w:p>
        </w:tc>
        <w:tc>
          <w:tcPr>
            <w:tcW w:w="173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外摆式</w:t>
            </w:r>
          </w:p>
        </w:tc>
        <w:tc>
          <w:tcPr>
            <w:tcW w:w="143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车身尺寸（长*宽*高）≥（MM）</w:t>
            </w:r>
          </w:p>
        </w:tc>
        <w:tc>
          <w:tcPr>
            <w:tcW w:w="81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10990*2550*3600</w:t>
            </w:r>
          </w:p>
        </w:tc>
      </w:tr>
      <w:tr>
        <w:tblPrEx>
          <w:tblCellMar>
            <w:top w:w="0" w:type="dxa"/>
            <w:left w:w="108" w:type="dxa"/>
            <w:bottom w:w="0" w:type="dxa"/>
            <w:right w:w="108" w:type="dxa"/>
          </w:tblCellMar>
        </w:tblPrEx>
        <w:trPr>
          <w:trHeight w:val="270" w:hRule="atLeast"/>
        </w:trPr>
        <w:tc>
          <w:tcPr>
            <w:tcW w:w="101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车身结构形式</w:t>
            </w:r>
          </w:p>
        </w:tc>
        <w:tc>
          <w:tcPr>
            <w:tcW w:w="173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c>
          <w:tcPr>
            <w:tcW w:w="14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电动机额定功率（KW）</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101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电动机额定扭矩（N.M）</w:t>
            </w:r>
          </w:p>
        </w:tc>
        <w:tc>
          <w:tcPr>
            <w:tcW w:w="173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c>
          <w:tcPr>
            <w:tcW w:w="14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发动机额定功率（</w:t>
            </w:r>
            <w:r>
              <w:rPr>
                <w:rFonts w:hint="eastAsia" w:ascii="宋体" w:hAnsi="宋体" w:eastAsia="宋体" w:cs="宋体"/>
                <w:color w:val="000000" w:themeColor="text1"/>
                <w:kern w:val="0"/>
                <w:sz w:val="22"/>
                <w:lang w:eastAsia="zh-CN"/>
                <w14:textFill>
                  <w14:solidFill>
                    <w14:schemeClr w14:val="tx1"/>
                  </w14:solidFill>
                </w14:textFill>
              </w:rPr>
              <w:t>马力</w:t>
            </w:r>
            <w:r>
              <w:rPr>
                <w:rFonts w:hint="eastAsia" w:ascii="宋体" w:hAnsi="宋体" w:eastAsia="宋体" w:cs="宋体"/>
                <w:color w:val="000000" w:themeColor="text1"/>
                <w:kern w:val="0"/>
                <w:sz w:val="22"/>
                <w14:textFill>
                  <w14:solidFill>
                    <w14:schemeClr w14:val="tx1"/>
                  </w14:solidFill>
                </w14:textFill>
              </w:rPr>
              <w:t>）</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 w:val="22"/>
                <w:lang w:val="en-US" w:eastAsia="zh-CN"/>
                <w14:textFill>
                  <w14:solidFill>
                    <w14:schemeClr w14:val="tx1"/>
                  </w14:solidFill>
                </w14:textFill>
              </w:rPr>
            </w:pPr>
            <w:r>
              <w:rPr>
                <w:rFonts w:hint="eastAsia" w:ascii="宋体" w:hAnsi="宋体" w:eastAsia="宋体" w:cs="宋体"/>
                <w:color w:val="000000" w:themeColor="text1"/>
                <w:kern w:val="0"/>
                <w:sz w:val="22"/>
                <w:lang w:val="en-US" w:eastAsia="zh-CN"/>
                <w14:textFill>
                  <w14:solidFill>
                    <w14:schemeClr w14:val="tx1"/>
                  </w14:solidFill>
                </w14:textFill>
              </w:rPr>
              <w:t>320</w:t>
            </w:r>
          </w:p>
        </w:tc>
      </w:tr>
      <w:tr>
        <w:tblPrEx>
          <w:tblCellMar>
            <w:top w:w="0" w:type="dxa"/>
            <w:left w:w="108" w:type="dxa"/>
            <w:bottom w:w="0" w:type="dxa"/>
            <w:right w:w="108" w:type="dxa"/>
          </w:tblCellMar>
        </w:tblPrEx>
        <w:trPr>
          <w:trHeight w:val="270" w:hRule="atLeast"/>
        </w:trPr>
        <w:tc>
          <w:tcPr>
            <w:tcW w:w="101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发动机额定扭矩（N.M）</w:t>
            </w:r>
          </w:p>
        </w:tc>
        <w:tc>
          <w:tcPr>
            <w:tcW w:w="173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1000</w:t>
            </w:r>
          </w:p>
        </w:tc>
        <w:tc>
          <w:tcPr>
            <w:tcW w:w="14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工信部油耗（L/100KM）(城市/市郊/综合)</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101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行李舱容积（L）</w:t>
            </w:r>
          </w:p>
        </w:tc>
        <w:tc>
          <w:tcPr>
            <w:tcW w:w="173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c>
          <w:tcPr>
            <w:tcW w:w="14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行李架</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有整体式内行李架</w:t>
            </w:r>
          </w:p>
        </w:tc>
      </w:tr>
      <w:tr>
        <w:tblPrEx>
          <w:tblCellMar>
            <w:top w:w="0" w:type="dxa"/>
            <w:left w:w="108" w:type="dxa"/>
            <w:bottom w:w="0" w:type="dxa"/>
            <w:right w:w="108" w:type="dxa"/>
          </w:tblCellMar>
        </w:tblPrEx>
        <w:trPr>
          <w:trHeight w:val="270" w:hRule="atLeast"/>
        </w:trPr>
        <w:tc>
          <w:tcPr>
            <w:tcW w:w="101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缓速器</w:t>
            </w:r>
          </w:p>
        </w:tc>
        <w:tc>
          <w:tcPr>
            <w:tcW w:w="173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有</w:t>
            </w:r>
          </w:p>
        </w:tc>
        <w:tc>
          <w:tcPr>
            <w:tcW w:w="14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空调形式</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顶置式</w:t>
            </w:r>
          </w:p>
        </w:tc>
      </w:tr>
      <w:tr>
        <w:tblPrEx>
          <w:tblCellMar>
            <w:top w:w="0" w:type="dxa"/>
            <w:left w:w="108" w:type="dxa"/>
            <w:bottom w:w="0" w:type="dxa"/>
            <w:right w:w="108" w:type="dxa"/>
          </w:tblCellMar>
        </w:tblPrEx>
        <w:trPr>
          <w:trHeight w:val="270" w:hRule="atLeast"/>
        </w:trPr>
        <w:tc>
          <w:tcPr>
            <w:tcW w:w="101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轮胎规格</w:t>
            </w:r>
          </w:p>
        </w:tc>
        <w:tc>
          <w:tcPr>
            <w:tcW w:w="173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275\80R22．5</w:t>
            </w:r>
          </w:p>
        </w:tc>
        <w:tc>
          <w:tcPr>
            <w:tcW w:w="14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轮胎数</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原厂标配</w:t>
            </w:r>
          </w:p>
        </w:tc>
      </w:tr>
      <w:tr>
        <w:tblPrEx>
          <w:tblCellMar>
            <w:top w:w="0" w:type="dxa"/>
            <w:left w:w="108" w:type="dxa"/>
            <w:bottom w:w="0" w:type="dxa"/>
            <w:right w:w="108" w:type="dxa"/>
          </w:tblCellMar>
        </w:tblPrEx>
        <w:trPr>
          <w:trHeight w:val="270" w:hRule="atLeast"/>
        </w:trPr>
        <w:tc>
          <w:tcPr>
            <w:tcW w:w="101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前挡风窗遮阳帘形式</w:t>
            </w:r>
          </w:p>
        </w:tc>
        <w:tc>
          <w:tcPr>
            <w:tcW w:w="173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前风挡双半幅遮阳帘+司机窗遮阳帘</w:t>
            </w:r>
          </w:p>
        </w:tc>
        <w:tc>
          <w:tcPr>
            <w:tcW w:w="14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三包周期（公里数/时间）</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原厂标配</w:t>
            </w:r>
          </w:p>
        </w:tc>
      </w:tr>
      <w:tr>
        <w:tblPrEx>
          <w:tblCellMar>
            <w:top w:w="0" w:type="dxa"/>
            <w:left w:w="108" w:type="dxa"/>
            <w:bottom w:w="0" w:type="dxa"/>
            <w:right w:w="108" w:type="dxa"/>
          </w:tblCellMar>
        </w:tblPrEx>
        <w:trPr>
          <w:trHeight w:val="270" w:hRule="atLeast"/>
        </w:trPr>
        <w:tc>
          <w:tcPr>
            <w:tcW w:w="101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售后服务政策</w:t>
            </w:r>
          </w:p>
        </w:tc>
        <w:tc>
          <w:tcPr>
            <w:tcW w:w="173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原厂标配</w:t>
            </w:r>
          </w:p>
        </w:tc>
        <w:tc>
          <w:tcPr>
            <w:tcW w:w="14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外后视镜形式</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原厂标配</w:t>
            </w:r>
          </w:p>
        </w:tc>
      </w:tr>
      <w:tr>
        <w:tblPrEx>
          <w:tblCellMar>
            <w:top w:w="0" w:type="dxa"/>
            <w:left w:w="108" w:type="dxa"/>
            <w:bottom w:w="0" w:type="dxa"/>
            <w:right w:w="108" w:type="dxa"/>
          </w:tblCellMar>
        </w:tblPrEx>
        <w:trPr>
          <w:trHeight w:val="270" w:hRule="atLeast"/>
        </w:trPr>
        <w:tc>
          <w:tcPr>
            <w:tcW w:w="101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详细描述</w:t>
            </w:r>
          </w:p>
        </w:tc>
        <w:tc>
          <w:tcPr>
            <w:tcW w:w="173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c>
          <w:tcPr>
            <w:tcW w:w="14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悬挂形式</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六气囊悬挂</w:t>
            </w:r>
          </w:p>
        </w:tc>
      </w:tr>
      <w:tr>
        <w:tblPrEx>
          <w:tblCellMar>
            <w:top w:w="0" w:type="dxa"/>
            <w:left w:w="108" w:type="dxa"/>
            <w:bottom w:w="0" w:type="dxa"/>
            <w:right w:w="108" w:type="dxa"/>
          </w:tblCellMar>
        </w:tblPrEx>
        <w:trPr>
          <w:trHeight w:val="270" w:hRule="atLeast"/>
        </w:trPr>
        <w:tc>
          <w:tcPr>
            <w:tcW w:w="101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油箱容积（L）</w:t>
            </w:r>
          </w:p>
        </w:tc>
        <w:tc>
          <w:tcPr>
            <w:tcW w:w="173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260</w:t>
            </w:r>
          </w:p>
        </w:tc>
        <w:tc>
          <w:tcPr>
            <w:tcW w:w="14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整车整备质量（KG）</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1019"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制动器形式</w:t>
            </w:r>
          </w:p>
        </w:tc>
        <w:tc>
          <w:tcPr>
            <w:tcW w:w="1735"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前盘后鼓</w:t>
            </w:r>
          </w:p>
        </w:tc>
        <w:tc>
          <w:tcPr>
            <w:tcW w:w="143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轴距</w:t>
            </w:r>
          </w:p>
        </w:tc>
        <w:tc>
          <w:tcPr>
            <w:tcW w:w="811"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10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最高车速（KM/H）</w:t>
            </w:r>
          </w:p>
        </w:tc>
        <w:tc>
          <w:tcPr>
            <w:tcW w:w="173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c>
          <w:tcPr>
            <w:tcW w:w="143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81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bl>
    <w:p>
      <w:pPr>
        <w:widowControl/>
        <w:shd w:val="clear" w:color="auto" w:fill="FFFFFF"/>
        <w:spacing w:line="48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大中型客车</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17座</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的</w:t>
      </w:r>
      <w:r>
        <w:rPr>
          <w:color w:val="000000" w:themeColor="text1"/>
          <w:sz w:val="24"/>
          <w14:textFill>
            <w14:solidFill>
              <w14:schemeClr w14:val="tx1"/>
            </w14:solidFill>
          </w14:textFill>
        </w:rPr>
        <w:t>标的参数</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如有</w:t>
      </w:r>
      <w:r>
        <w:rPr>
          <w:color w:val="000000" w:themeColor="text1"/>
          <w:sz w:val="24"/>
          <w14:textFill>
            <w14:solidFill>
              <w14:schemeClr w14:val="tx1"/>
            </w14:solidFill>
          </w14:textFill>
        </w:rPr>
        <w:t>，请复制</w:t>
      </w:r>
      <w:r>
        <w:rPr>
          <w:rFonts w:hint="eastAsia"/>
          <w:color w:val="000000" w:themeColor="text1"/>
          <w:sz w:val="24"/>
          <w14:textFill>
            <w14:solidFill>
              <w14:schemeClr w14:val="tx1"/>
            </w14:solidFill>
          </w14:textFill>
        </w:rPr>
        <w:t>参数</w:t>
      </w:r>
      <w:r>
        <w:rPr>
          <w:color w:val="000000" w:themeColor="text1"/>
          <w:sz w:val="24"/>
          <w14:textFill>
            <w14:solidFill>
              <w14:schemeClr w14:val="tx1"/>
            </w14:solidFill>
          </w14:textFill>
        </w:rPr>
        <w:t>表</w:t>
      </w:r>
      <w:r>
        <w:rPr>
          <w:rFonts w:hint="eastAsia"/>
          <w:color w:val="000000" w:themeColor="text1"/>
          <w:sz w:val="24"/>
          <w14:textFill>
            <w14:solidFill>
              <w14:schemeClr w14:val="tx1"/>
            </w14:solidFill>
          </w14:textFill>
        </w:rPr>
        <w:t>填写</w:t>
      </w:r>
      <w:r>
        <w:rPr>
          <w:color w:val="000000" w:themeColor="text1"/>
          <w:sz w:val="24"/>
          <w14:textFill>
            <w14:solidFill>
              <w14:schemeClr w14:val="tx1"/>
            </w14:solidFill>
          </w14:textFill>
        </w:rPr>
        <w:t>）</w:t>
      </w:r>
    </w:p>
    <w:tbl>
      <w:tblPr>
        <w:tblStyle w:val="5"/>
        <w:tblW w:w="0" w:type="auto"/>
        <w:tblInd w:w="-34" w:type="dxa"/>
        <w:tblLayout w:type="fixed"/>
        <w:tblCellMar>
          <w:top w:w="0" w:type="dxa"/>
          <w:left w:w="108" w:type="dxa"/>
          <w:bottom w:w="0" w:type="dxa"/>
          <w:right w:w="108" w:type="dxa"/>
        </w:tblCellMar>
      </w:tblPr>
      <w:tblGrid>
        <w:gridCol w:w="1814"/>
        <w:gridCol w:w="2439"/>
        <w:gridCol w:w="2977"/>
        <w:gridCol w:w="1326"/>
      </w:tblGrid>
      <w:tr>
        <w:tblPrEx>
          <w:tblCellMar>
            <w:top w:w="0" w:type="dxa"/>
            <w:left w:w="108" w:type="dxa"/>
            <w:bottom w:w="0" w:type="dxa"/>
            <w:right w:w="108" w:type="dxa"/>
          </w:tblCellMar>
        </w:tblPrEx>
        <w:trPr>
          <w:trHeight w:val="270" w:hRule="atLeast"/>
        </w:trPr>
        <w:tc>
          <w:tcPr>
            <w:tcW w:w="18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变速器类型</w:t>
            </w:r>
          </w:p>
        </w:tc>
        <w:tc>
          <w:tcPr>
            <w:tcW w:w="243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手动</w:t>
            </w:r>
          </w:p>
        </w:tc>
        <w:tc>
          <w:tcPr>
            <w:tcW w:w="29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变速器前进档档数</w:t>
            </w:r>
          </w:p>
        </w:tc>
        <w:tc>
          <w:tcPr>
            <w:tcW w:w="13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lang w:val="en-US" w:eastAsia="zh-CN"/>
                <w14:textFill>
                  <w14:solidFill>
                    <w14:schemeClr w14:val="tx1"/>
                  </w14:solidFill>
                </w14:textFill>
              </w:rPr>
              <w:t>5</w:t>
            </w:r>
            <w:r>
              <w:rPr>
                <w:rFonts w:hint="eastAsia" w:ascii="宋体" w:hAnsi="宋体" w:eastAsia="宋体" w:cs="宋体"/>
                <w:color w:val="000000" w:themeColor="text1"/>
                <w:kern w:val="0"/>
                <w:sz w:val="22"/>
                <w14:textFill>
                  <w14:solidFill>
                    <w14:schemeClr w14:val="tx1"/>
                  </w14:solidFill>
                </w14:textFill>
              </w:rPr>
              <w:t>档</w:t>
            </w:r>
          </w:p>
        </w:tc>
      </w:tr>
      <w:tr>
        <w:tblPrEx>
          <w:tblCellMar>
            <w:top w:w="0" w:type="dxa"/>
            <w:left w:w="108" w:type="dxa"/>
            <w:bottom w:w="0" w:type="dxa"/>
            <w:right w:w="108" w:type="dxa"/>
          </w:tblCellMar>
        </w:tblPrEx>
        <w:trPr>
          <w:trHeight w:val="270" w:hRule="atLeast"/>
        </w:trPr>
        <w:tc>
          <w:tcPr>
            <w:tcW w:w="1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车身长度</w:t>
            </w: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7米以上</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发动机或电动机位置</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后置</w:t>
            </w:r>
          </w:p>
        </w:tc>
      </w:tr>
      <w:tr>
        <w:tblPrEx>
          <w:tblCellMar>
            <w:top w:w="0" w:type="dxa"/>
            <w:left w:w="108" w:type="dxa"/>
            <w:bottom w:w="0" w:type="dxa"/>
            <w:right w:w="108" w:type="dxa"/>
          </w:tblCellMar>
        </w:tblPrEx>
        <w:trPr>
          <w:trHeight w:val="270" w:hRule="atLeast"/>
        </w:trPr>
        <w:tc>
          <w:tcPr>
            <w:tcW w:w="1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环保排放标准</w:t>
            </w: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国四</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燃料类型</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汽油</w:t>
            </w:r>
          </w:p>
        </w:tc>
      </w:tr>
      <w:tr>
        <w:tblPrEx>
          <w:tblCellMar>
            <w:top w:w="0" w:type="dxa"/>
            <w:left w:w="108" w:type="dxa"/>
            <w:bottom w:w="0" w:type="dxa"/>
            <w:right w:w="108" w:type="dxa"/>
          </w:tblCellMar>
        </w:tblPrEx>
        <w:trPr>
          <w:trHeight w:val="270" w:hRule="atLeast"/>
        </w:trPr>
        <w:tc>
          <w:tcPr>
            <w:tcW w:w="1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原产地类型</w:t>
            </w: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载客核准数（位）</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17位</w:t>
            </w:r>
          </w:p>
        </w:tc>
      </w:tr>
      <w:tr>
        <w:tblPrEx>
          <w:tblCellMar>
            <w:top w:w="0" w:type="dxa"/>
            <w:left w:w="108" w:type="dxa"/>
            <w:bottom w:w="0" w:type="dxa"/>
            <w:right w:w="108" w:type="dxa"/>
          </w:tblCellMar>
        </w:tblPrEx>
        <w:trPr>
          <w:trHeight w:val="270" w:hRule="atLeast"/>
        </w:trPr>
        <w:tc>
          <w:tcPr>
            <w:tcW w:w="1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0-100加速时间（S）</w:t>
            </w: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安全带</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伸缩式</w:t>
            </w:r>
          </w:p>
        </w:tc>
      </w:tr>
      <w:tr>
        <w:tblPrEx>
          <w:tblCellMar>
            <w:top w:w="0" w:type="dxa"/>
            <w:left w:w="108" w:type="dxa"/>
            <w:bottom w:w="0" w:type="dxa"/>
            <w:right w:w="108" w:type="dxa"/>
          </w:tblCellMar>
        </w:tblPrEx>
        <w:trPr>
          <w:trHeight w:val="270" w:hRule="atLeast"/>
        </w:trPr>
        <w:tc>
          <w:tcPr>
            <w:tcW w:w="1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安全气囊</w:t>
            </w: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车窗形式</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1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车辆续驶里程（KM）</w:t>
            </w: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车门数（个）</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lang w:val="en-US" w:eastAsia="zh-CN"/>
                <w14:textFill>
                  <w14:solidFill>
                    <w14:schemeClr w14:val="tx1"/>
                  </w14:solidFill>
                </w14:textFill>
              </w:rPr>
              <w:t>2</w:t>
            </w:r>
            <w:r>
              <w:rPr>
                <w:rFonts w:hint="eastAsia" w:ascii="宋体" w:hAnsi="宋体" w:eastAsia="宋体" w:cs="宋体"/>
                <w:color w:val="000000" w:themeColor="text1"/>
                <w:kern w:val="0"/>
                <w:sz w:val="22"/>
                <w14:textFill>
                  <w14:solidFill>
                    <w14:schemeClr w14:val="tx1"/>
                  </w14:solidFill>
                </w14:textFill>
              </w:rPr>
              <w:t>个</w:t>
            </w:r>
          </w:p>
        </w:tc>
      </w:tr>
      <w:tr>
        <w:tblPrEx>
          <w:tblCellMar>
            <w:top w:w="0" w:type="dxa"/>
            <w:left w:w="108" w:type="dxa"/>
            <w:bottom w:w="0" w:type="dxa"/>
            <w:right w:w="108" w:type="dxa"/>
          </w:tblCellMar>
        </w:tblPrEx>
        <w:trPr>
          <w:trHeight w:val="270" w:hRule="atLeast"/>
        </w:trPr>
        <w:tc>
          <w:tcPr>
            <w:tcW w:w="1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车门形式</w:t>
            </w: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外摆式</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车身尺寸（长*宽*高）≥（MM）</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7005*2040*2620</w:t>
            </w:r>
          </w:p>
        </w:tc>
      </w:tr>
      <w:tr>
        <w:tblPrEx>
          <w:tblCellMar>
            <w:top w:w="0" w:type="dxa"/>
            <w:left w:w="108" w:type="dxa"/>
            <w:bottom w:w="0" w:type="dxa"/>
            <w:right w:w="108" w:type="dxa"/>
          </w:tblCellMar>
        </w:tblPrEx>
        <w:trPr>
          <w:trHeight w:val="270" w:hRule="atLeast"/>
        </w:trPr>
        <w:tc>
          <w:tcPr>
            <w:tcW w:w="1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车身结构形式</w:t>
            </w: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电动机额定功率（KW）</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1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电动机额定扭矩（N.M）</w:t>
            </w: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 w:val="22"/>
                <w:lang w:val="en-US" w:eastAsia="zh-CN"/>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发动机额定功率（KW）</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1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发动机额定扭矩（N.M）</w:t>
            </w: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lang w:val="en-US" w:eastAsia="zh-CN"/>
                <w14:textFill>
                  <w14:solidFill>
                    <w14:schemeClr w14:val="tx1"/>
                  </w14:solidFill>
                </w14:textFill>
              </w:rPr>
              <w:t>341/4200</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工信部油耗（L/100KM）(城市/市郊/综合)</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1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行李舱容积（L）</w:t>
            </w: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行李架</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1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缓速器</w:t>
            </w: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有</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空调形式</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顶置式</w:t>
            </w:r>
          </w:p>
        </w:tc>
      </w:tr>
      <w:tr>
        <w:tblPrEx>
          <w:tblCellMar>
            <w:top w:w="0" w:type="dxa"/>
            <w:left w:w="108" w:type="dxa"/>
            <w:bottom w:w="0" w:type="dxa"/>
            <w:right w:w="108" w:type="dxa"/>
          </w:tblCellMar>
        </w:tblPrEx>
        <w:trPr>
          <w:trHeight w:val="270" w:hRule="atLeast"/>
        </w:trPr>
        <w:tc>
          <w:tcPr>
            <w:tcW w:w="1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轮胎规格</w:t>
            </w: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 w:val="22"/>
                <w:lang w:val="en-US" w:eastAsia="zh-CN"/>
                <w14:textFill>
                  <w14:solidFill>
                    <w14:schemeClr w14:val="tx1"/>
                  </w14:solidFill>
                </w14:textFill>
              </w:rPr>
            </w:pPr>
            <w:r>
              <w:rPr>
                <w:rFonts w:hint="eastAsia" w:ascii="宋体" w:hAnsi="宋体" w:eastAsia="宋体" w:cs="宋体"/>
                <w:color w:val="000000" w:themeColor="text1"/>
                <w:kern w:val="0"/>
                <w:sz w:val="22"/>
                <w:lang w:val="en-US" w:eastAsia="zh-CN"/>
                <w14:textFill>
                  <w14:solidFill>
                    <w14:schemeClr w14:val="tx1"/>
                  </w14:solidFill>
                </w14:textFill>
              </w:rPr>
              <w:t>215/70R 17.5</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轮胎数</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lang w:eastAsia="zh-CN"/>
                <w14:textFill>
                  <w14:solidFill>
                    <w14:schemeClr w14:val="tx1"/>
                  </w14:solidFill>
                </w14:textFill>
              </w:rPr>
            </w:pPr>
            <w:r>
              <w:rPr>
                <w:rFonts w:hint="eastAsia" w:ascii="宋体" w:hAnsi="宋体" w:eastAsia="宋体" w:cs="宋体"/>
                <w:color w:val="000000" w:themeColor="text1"/>
                <w:kern w:val="0"/>
                <w:sz w:val="22"/>
                <w:lang w:val="en-US" w:eastAsia="zh-CN"/>
                <w14:textFill>
                  <w14:solidFill>
                    <w14:schemeClr w14:val="tx1"/>
                  </w14:solidFill>
                </w14:textFill>
              </w:rPr>
              <w:t>7</w:t>
            </w:r>
          </w:p>
        </w:tc>
      </w:tr>
      <w:tr>
        <w:tblPrEx>
          <w:tblCellMar>
            <w:top w:w="0" w:type="dxa"/>
            <w:left w:w="108" w:type="dxa"/>
            <w:bottom w:w="0" w:type="dxa"/>
            <w:right w:w="108" w:type="dxa"/>
          </w:tblCellMar>
        </w:tblPrEx>
        <w:trPr>
          <w:trHeight w:val="270" w:hRule="atLeast"/>
        </w:trPr>
        <w:tc>
          <w:tcPr>
            <w:tcW w:w="1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前挡风窗遮阳帘形式</w:t>
            </w: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原厂标配</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三包周期（公里数/时间）</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原厂标配</w:t>
            </w:r>
          </w:p>
        </w:tc>
      </w:tr>
      <w:tr>
        <w:tblPrEx>
          <w:tblCellMar>
            <w:top w:w="0" w:type="dxa"/>
            <w:left w:w="108" w:type="dxa"/>
            <w:bottom w:w="0" w:type="dxa"/>
            <w:right w:w="108" w:type="dxa"/>
          </w:tblCellMar>
        </w:tblPrEx>
        <w:trPr>
          <w:trHeight w:val="270" w:hRule="atLeast"/>
        </w:trPr>
        <w:tc>
          <w:tcPr>
            <w:tcW w:w="1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售后服务政策</w:t>
            </w: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原厂标配</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外后视镜形式</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原厂标配</w:t>
            </w:r>
          </w:p>
        </w:tc>
      </w:tr>
      <w:tr>
        <w:tblPrEx>
          <w:tblCellMar>
            <w:top w:w="0" w:type="dxa"/>
            <w:left w:w="108" w:type="dxa"/>
            <w:bottom w:w="0" w:type="dxa"/>
            <w:right w:w="108" w:type="dxa"/>
          </w:tblCellMar>
        </w:tblPrEx>
        <w:trPr>
          <w:trHeight w:val="270" w:hRule="atLeast"/>
        </w:trPr>
        <w:tc>
          <w:tcPr>
            <w:tcW w:w="1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详细描述</w:t>
            </w: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悬挂形式</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六气囊悬挂</w:t>
            </w:r>
          </w:p>
        </w:tc>
      </w:tr>
      <w:tr>
        <w:tblPrEx>
          <w:tblCellMar>
            <w:top w:w="0" w:type="dxa"/>
            <w:left w:w="108" w:type="dxa"/>
            <w:bottom w:w="0" w:type="dxa"/>
            <w:right w:w="108" w:type="dxa"/>
          </w:tblCellMar>
        </w:tblPrEx>
        <w:trPr>
          <w:trHeight w:val="270" w:hRule="atLeast"/>
        </w:trPr>
        <w:tc>
          <w:tcPr>
            <w:tcW w:w="1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油箱容积（L）</w:t>
            </w: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92</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整车整备质量（KG）</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1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制动器形式</w:t>
            </w: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(前/后)盘式/盘式</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 w:val="22"/>
                <w:lang w:val="en-US" w:eastAsia="zh-CN"/>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轴距≥</w:t>
            </w:r>
            <w:r>
              <w:rPr>
                <w:rFonts w:hint="eastAsia" w:ascii="宋体" w:hAnsi="宋体" w:eastAsia="宋体" w:cs="宋体"/>
                <w:color w:val="000000" w:themeColor="text1"/>
                <w:kern w:val="0"/>
                <w:sz w:val="22"/>
                <w:lang w:val="en-US" w:eastAsia="zh-CN"/>
                <w14:textFill>
                  <w14:solidFill>
                    <w14:schemeClr w14:val="tx1"/>
                  </w14:solidFill>
                </w14:textFill>
              </w:rPr>
              <w:t>(MM)</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3935</w:t>
            </w:r>
          </w:p>
        </w:tc>
      </w:tr>
      <w:tr>
        <w:tblPrEx>
          <w:tblCellMar>
            <w:top w:w="0" w:type="dxa"/>
            <w:left w:w="108" w:type="dxa"/>
            <w:bottom w:w="0" w:type="dxa"/>
            <w:right w:w="108" w:type="dxa"/>
          </w:tblCellMar>
        </w:tblPrEx>
        <w:trPr>
          <w:trHeight w:val="285" w:hRule="atLeast"/>
        </w:trPr>
        <w:tc>
          <w:tcPr>
            <w:tcW w:w="18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最高车速（KM/H）</w:t>
            </w:r>
          </w:p>
        </w:tc>
        <w:tc>
          <w:tcPr>
            <w:tcW w:w="243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bl>
    <w:p>
      <w:pPr>
        <w:widowControl/>
        <w:shd w:val="clear" w:color="auto" w:fill="FFFFFF"/>
        <w:spacing w:line="48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新能源轿车的</w:t>
      </w:r>
      <w:r>
        <w:rPr>
          <w:color w:val="000000" w:themeColor="text1"/>
          <w:sz w:val="24"/>
          <w14:textFill>
            <w14:solidFill>
              <w14:schemeClr w14:val="tx1"/>
            </w14:solidFill>
          </w14:textFill>
        </w:rPr>
        <w:t>标的参数</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如有</w:t>
      </w:r>
      <w:r>
        <w:rPr>
          <w:color w:val="000000" w:themeColor="text1"/>
          <w:sz w:val="24"/>
          <w14:textFill>
            <w14:solidFill>
              <w14:schemeClr w14:val="tx1"/>
            </w14:solidFill>
          </w14:textFill>
        </w:rPr>
        <w:t>，请复制</w:t>
      </w:r>
      <w:r>
        <w:rPr>
          <w:rFonts w:hint="eastAsia"/>
          <w:color w:val="000000" w:themeColor="text1"/>
          <w:sz w:val="24"/>
          <w14:textFill>
            <w14:solidFill>
              <w14:schemeClr w14:val="tx1"/>
            </w14:solidFill>
          </w14:textFill>
        </w:rPr>
        <w:t>参数</w:t>
      </w:r>
      <w:r>
        <w:rPr>
          <w:color w:val="000000" w:themeColor="text1"/>
          <w:sz w:val="24"/>
          <w14:textFill>
            <w14:solidFill>
              <w14:schemeClr w14:val="tx1"/>
            </w14:solidFill>
          </w14:textFill>
        </w:rPr>
        <w:t>表</w:t>
      </w:r>
      <w:r>
        <w:rPr>
          <w:rFonts w:hint="eastAsia"/>
          <w:color w:val="000000" w:themeColor="text1"/>
          <w:sz w:val="24"/>
          <w14:textFill>
            <w14:solidFill>
              <w14:schemeClr w14:val="tx1"/>
            </w14:solidFill>
          </w14:textFill>
        </w:rPr>
        <w:t>填写</w:t>
      </w:r>
      <w:r>
        <w:rPr>
          <w:color w:val="000000" w:themeColor="text1"/>
          <w:sz w:val="24"/>
          <w14:textFill>
            <w14:solidFill>
              <w14:schemeClr w14:val="tx1"/>
            </w14:solidFill>
          </w14:textFill>
        </w:rPr>
        <w:t>）</w:t>
      </w:r>
    </w:p>
    <w:tbl>
      <w:tblPr>
        <w:tblStyle w:val="5"/>
        <w:tblW w:w="0" w:type="auto"/>
        <w:tblInd w:w="-34" w:type="dxa"/>
        <w:tblLayout w:type="fixed"/>
        <w:tblCellMar>
          <w:top w:w="0" w:type="dxa"/>
          <w:left w:w="108" w:type="dxa"/>
          <w:bottom w:w="0" w:type="dxa"/>
          <w:right w:w="108" w:type="dxa"/>
        </w:tblCellMar>
      </w:tblPr>
      <w:tblGrid>
        <w:gridCol w:w="1843"/>
        <w:gridCol w:w="2410"/>
        <w:gridCol w:w="2977"/>
        <w:gridCol w:w="1326"/>
      </w:tblGrid>
      <w:tr>
        <w:tblPrEx>
          <w:tblCellMar>
            <w:top w:w="0" w:type="dxa"/>
            <w:left w:w="108" w:type="dxa"/>
            <w:bottom w:w="0" w:type="dxa"/>
            <w:right w:w="108" w:type="dxa"/>
          </w:tblCellMar>
        </w:tblPrEx>
        <w:trPr>
          <w:trHeight w:val="270" w:hRule="atLeast"/>
        </w:trPr>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变速器类型</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自动</w:t>
            </w:r>
          </w:p>
        </w:tc>
        <w:tc>
          <w:tcPr>
            <w:tcW w:w="29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变速器前进档档数</w:t>
            </w:r>
          </w:p>
        </w:tc>
        <w:tc>
          <w:tcPr>
            <w:tcW w:w="13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6档</w:t>
            </w:r>
          </w:p>
        </w:tc>
      </w:tr>
      <w:tr>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车身长度</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4.9米以上</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发动机或电动机位置</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后置</w:t>
            </w:r>
          </w:p>
        </w:tc>
      </w:tr>
      <w:tr>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环保排放标准</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国六</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燃料类型</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汽油</w:t>
            </w:r>
          </w:p>
        </w:tc>
      </w:tr>
      <w:tr>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原产地类型</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载客核准数（位）</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5位</w:t>
            </w:r>
          </w:p>
        </w:tc>
      </w:tr>
      <w:tr>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0-100加速时间（S）</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安全带</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伸缩式</w:t>
            </w:r>
          </w:p>
        </w:tc>
      </w:tr>
      <w:tr>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安全气囊</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车窗形式</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车辆续驶里程（KM）</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车门数（个）</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5个</w:t>
            </w:r>
          </w:p>
        </w:tc>
      </w:tr>
      <w:tr>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车门形式</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外摆式</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车身尺寸（长*宽*高）≥（MM）</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4948*1836*1469</w:t>
            </w:r>
          </w:p>
        </w:tc>
      </w:tr>
      <w:tr>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车身结构形式</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电动机额定功率/转速（KW/RPM）</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55/3090</w:t>
            </w:r>
          </w:p>
        </w:tc>
      </w:tr>
      <w:tr>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最大扭矩/转速（NM/RPM）</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250/1750-2000</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额定功率/转速（KW/RPM）</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110/6000</w:t>
            </w:r>
          </w:p>
        </w:tc>
      </w:tr>
      <w:tr>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电机峰值功率/转速（NM/RPM）</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85</w:t>
            </w:r>
            <w:r>
              <w:rPr>
                <w:rFonts w:hint="eastAsia" w:ascii="宋体" w:hAnsi="宋体" w:eastAsia="宋体" w:cs="宋体"/>
                <w:color w:val="000000" w:themeColor="text1"/>
                <w:kern w:val="0"/>
                <w:sz w:val="22"/>
                <w:lang w:val="en-US" w:eastAsia="zh-CN"/>
                <w14:textFill>
                  <w14:solidFill>
                    <w14:schemeClr w14:val="tx1"/>
                  </w14:solidFill>
                </w14:textFill>
              </w:rPr>
              <w:t>/</w:t>
            </w:r>
            <w:r>
              <w:rPr>
                <w:rFonts w:hint="eastAsia" w:ascii="宋体" w:hAnsi="宋体" w:eastAsia="宋体" w:cs="宋体"/>
                <w:color w:val="000000" w:themeColor="text1"/>
                <w:kern w:val="0"/>
                <w:sz w:val="22"/>
                <w14:textFill>
                  <w14:solidFill>
                    <w14:schemeClr w14:val="tx1"/>
                  </w14:solidFill>
                </w14:textFill>
              </w:rPr>
              <w:t>6200</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电机额定转矩（NM）</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170</w:t>
            </w:r>
          </w:p>
        </w:tc>
      </w:tr>
      <w:tr>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电机峰值转矩（NM）</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330</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系统最大功率（KW）</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155</w:t>
            </w:r>
          </w:p>
        </w:tc>
      </w:tr>
      <w:tr>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系统最大扭矩（NM）</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400</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电池能量≥（KWH）</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13</w:t>
            </w:r>
          </w:p>
        </w:tc>
      </w:tr>
      <w:tr>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充电效率（KW）</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3.6</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NEDC纯电动续航里程≥（KM）</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63</w:t>
            </w:r>
          </w:p>
        </w:tc>
      </w:tr>
      <w:tr>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发动机额定扭矩（N.M）</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工信部油耗（L/100KM）(城市/市郊/综合)</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行李舱容积（L）</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行李架</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缓速器</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有</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空调形式</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顶置式</w:t>
            </w:r>
          </w:p>
        </w:tc>
      </w:tr>
      <w:tr>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轮胎规格</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轮胎数</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原厂标配</w:t>
            </w:r>
          </w:p>
        </w:tc>
      </w:tr>
      <w:tr>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前挡风窗遮阳帘形式</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原厂标配</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三包周期（公里数/时间）</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原厂标配</w:t>
            </w:r>
          </w:p>
        </w:tc>
      </w:tr>
      <w:tr>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售后服务政策</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原厂标配</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外后视镜形式</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原厂标配</w:t>
            </w:r>
          </w:p>
        </w:tc>
      </w:tr>
      <w:tr>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详细描述</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悬挂形式</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六气囊悬挂</w:t>
            </w:r>
          </w:p>
        </w:tc>
      </w:tr>
      <w:tr>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油箱容积（L）</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50</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整车整备质量≥（KG）</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制动器形式</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盘式制动器</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轴距≥(MM)</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2871</w:t>
            </w:r>
          </w:p>
        </w:tc>
      </w:tr>
      <w:tr>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最高车速（KM/H）</w:t>
            </w:r>
          </w:p>
        </w:tc>
        <w:tc>
          <w:tcPr>
            <w:tcW w:w="241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w:t>
            </w:r>
          </w:p>
        </w:tc>
        <w:tc>
          <w:tcPr>
            <w:tcW w:w="29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3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bl>
    <w:p>
      <w:pPr>
        <w:widowControl/>
        <w:shd w:val="clear" w:color="auto" w:fill="FFFFFF"/>
        <w:spacing w:line="480" w:lineRule="auto"/>
        <w:rPr>
          <w:rFonts w:hint="eastAsia"/>
          <w:color w:val="000000" w:themeColor="text1"/>
          <w:sz w:val="24"/>
          <w14:textFill>
            <w14:solidFill>
              <w14:schemeClr w14:val="tx1"/>
            </w14:solidFill>
          </w14:textFill>
        </w:rPr>
      </w:pPr>
    </w:p>
    <w:p>
      <w:pPr>
        <w:widowControl/>
        <w:shd w:val="clear" w:color="auto" w:fill="FFFFFF"/>
        <w:spacing w:line="480" w:lineRule="auto"/>
        <w:rPr>
          <w:rFonts w:hint="eastAsia"/>
          <w:color w:val="000000" w:themeColor="text1"/>
          <w:sz w:val="24"/>
          <w14:textFill>
            <w14:solidFill>
              <w14:schemeClr w14:val="tx1"/>
            </w14:solidFill>
          </w14:textFill>
        </w:rPr>
      </w:pPr>
    </w:p>
    <w:p>
      <w:pPr>
        <w:widowControl/>
        <w:shd w:val="clear" w:color="auto" w:fill="FFFFFF"/>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color w:val="000000" w:themeColor="text1"/>
          <w:sz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评审</w:t>
      </w:r>
      <w:r>
        <w:rPr>
          <w:rFonts w:ascii="宋体" w:hAnsi="宋体" w:eastAsia="宋体" w:cs="宋体"/>
          <w:color w:val="000000" w:themeColor="text1"/>
          <w:kern w:val="0"/>
          <w:sz w:val="24"/>
          <w:szCs w:val="24"/>
          <w14:textFill>
            <w14:solidFill>
              <w14:schemeClr w14:val="tx1"/>
            </w14:solidFill>
          </w14:textFill>
        </w:rPr>
        <w:t>条款</w:t>
      </w:r>
      <w:r>
        <w:rPr>
          <w:rFonts w:hint="eastAsia" w:ascii="宋体" w:hAnsi="宋体" w:eastAsia="宋体" w:cs="宋体"/>
          <w:color w:val="000000" w:themeColor="text1"/>
          <w:kern w:val="0"/>
          <w:sz w:val="24"/>
          <w:szCs w:val="24"/>
          <w14:textFill>
            <w14:solidFill>
              <w14:schemeClr w14:val="tx1"/>
            </w14:solidFill>
          </w14:textFill>
        </w:rPr>
        <w:t>：</w:t>
      </w:r>
    </w:p>
    <w:p>
      <w:pPr>
        <w:widowControl/>
        <w:shd w:val="clear" w:color="auto" w:fill="FFFFFF"/>
        <w:spacing w:line="480" w:lineRule="auto"/>
        <w:ind w:firstLine="360" w:firstLineChars="15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□综合评分法      </w:t>
      </w:r>
    </w:p>
    <w:tbl>
      <w:tblPr>
        <w:tblStyle w:val="6"/>
        <w:tblW w:w="10915"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993"/>
        <w:gridCol w:w="1701"/>
        <w:gridCol w:w="4961"/>
        <w:gridCol w:w="85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widowControl/>
              <w:spacing w:line="480" w:lineRule="auto"/>
              <w:rPr>
                <w:rFonts w:ascii="宋体" w:hAnsi="宋体" w:eastAsia="宋体" w:cs="宋体"/>
                <w:b/>
                <w:color w:val="000000" w:themeColor="text1"/>
                <w:kern w:val="0"/>
                <w:sz w:val="22"/>
                <w:szCs w:val="24"/>
                <w14:textFill>
                  <w14:solidFill>
                    <w14:schemeClr w14:val="tx1"/>
                  </w14:solidFill>
                </w14:textFill>
              </w:rPr>
            </w:pPr>
            <w:r>
              <w:rPr>
                <w:rFonts w:hint="eastAsia" w:ascii="宋体" w:hAnsi="宋体" w:eastAsia="宋体" w:cs="宋体"/>
                <w:b/>
                <w:color w:val="000000" w:themeColor="text1"/>
                <w:kern w:val="0"/>
                <w:sz w:val="22"/>
                <w:szCs w:val="24"/>
                <w14:textFill>
                  <w14:solidFill>
                    <w14:schemeClr w14:val="tx1"/>
                  </w14:solidFill>
                </w14:textFill>
              </w:rPr>
              <w:t>评审项编号</w:t>
            </w:r>
          </w:p>
        </w:tc>
        <w:tc>
          <w:tcPr>
            <w:tcW w:w="993" w:type="dxa"/>
          </w:tcPr>
          <w:p>
            <w:pPr>
              <w:widowControl/>
              <w:spacing w:line="480" w:lineRule="auto"/>
              <w:rPr>
                <w:rFonts w:ascii="宋体" w:hAnsi="宋体" w:eastAsia="宋体" w:cs="宋体"/>
                <w:b/>
                <w:color w:val="000000" w:themeColor="text1"/>
                <w:kern w:val="0"/>
                <w:sz w:val="22"/>
                <w:szCs w:val="24"/>
                <w14:textFill>
                  <w14:solidFill>
                    <w14:schemeClr w14:val="tx1"/>
                  </w14:solidFill>
                </w14:textFill>
              </w:rPr>
            </w:pPr>
            <w:r>
              <w:rPr>
                <w:rFonts w:hint="eastAsia" w:ascii="宋体" w:hAnsi="宋体" w:eastAsia="宋体" w:cs="宋体"/>
                <w:b/>
                <w:color w:val="000000" w:themeColor="text1"/>
                <w:kern w:val="0"/>
                <w:sz w:val="22"/>
                <w:szCs w:val="24"/>
                <w14:textFill>
                  <w14:solidFill>
                    <w14:schemeClr w14:val="tx1"/>
                  </w14:solidFill>
                </w14:textFill>
              </w:rPr>
              <w:t>一级评审项</w:t>
            </w:r>
          </w:p>
        </w:tc>
        <w:tc>
          <w:tcPr>
            <w:tcW w:w="1701" w:type="dxa"/>
          </w:tcPr>
          <w:p>
            <w:pPr>
              <w:widowControl/>
              <w:spacing w:line="480" w:lineRule="auto"/>
              <w:rPr>
                <w:rFonts w:ascii="宋体" w:hAnsi="宋体" w:eastAsia="宋体" w:cs="宋体"/>
                <w:b/>
                <w:color w:val="000000" w:themeColor="text1"/>
                <w:kern w:val="0"/>
                <w:sz w:val="22"/>
                <w:szCs w:val="24"/>
                <w14:textFill>
                  <w14:solidFill>
                    <w14:schemeClr w14:val="tx1"/>
                  </w14:solidFill>
                </w14:textFill>
              </w:rPr>
            </w:pPr>
            <w:r>
              <w:rPr>
                <w:rFonts w:hint="eastAsia" w:ascii="宋体" w:hAnsi="宋体" w:eastAsia="宋体" w:cs="宋体"/>
                <w:b/>
                <w:color w:val="000000" w:themeColor="text1"/>
                <w:kern w:val="0"/>
                <w:sz w:val="22"/>
                <w:szCs w:val="24"/>
                <w14:textFill>
                  <w14:solidFill>
                    <w14:schemeClr w14:val="tx1"/>
                  </w14:solidFill>
                </w14:textFill>
              </w:rPr>
              <w:t>二级评审项</w:t>
            </w:r>
          </w:p>
        </w:tc>
        <w:tc>
          <w:tcPr>
            <w:tcW w:w="4961" w:type="dxa"/>
          </w:tcPr>
          <w:p>
            <w:pPr>
              <w:widowControl/>
              <w:spacing w:line="480" w:lineRule="auto"/>
              <w:jc w:val="center"/>
              <w:rPr>
                <w:rFonts w:ascii="宋体" w:hAnsi="宋体" w:eastAsia="宋体" w:cs="宋体"/>
                <w:b/>
                <w:color w:val="000000" w:themeColor="text1"/>
                <w:kern w:val="0"/>
                <w:sz w:val="22"/>
                <w:szCs w:val="24"/>
                <w14:textFill>
                  <w14:solidFill>
                    <w14:schemeClr w14:val="tx1"/>
                  </w14:solidFill>
                </w14:textFill>
              </w:rPr>
            </w:pPr>
            <w:r>
              <w:rPr>
                <w:rFonts w:hint="eastAsia" w:ascii="宋体" w:hAnsi="宋体" w:eastAsia="宋体" w:cs="宋体"/>
                <w:b/>
                <w:color w:val="000000" w:themeColor="text1"/>
                <w:kern w:val="0"/>
                <w:sz w:val="22"/>
                <w:szCs w:val="24"/>
                <w14:textFill>
                  <w14:solidFill>
                    <w14:schemeClr w14:val="tx1"/>
                  </w14:solidFill>
                </w14:textFill>
              </w:rPr>
              <w:t>详细要求</w:t>
            </w:r>
          </w:p>
        </w:tc>
        <w:tc>
          <w:tcPr>
            <w:tcW w:w="851" w:type="dxa"/>
          </w:tcPr>
          <w:p>
            <w:pPr>
              <w:widowControl/>
              <w:spacing w:line="480" w:lineRule="auto"/>
              <w:rPr>
                <w:rFonts w:ascii="宋体" w:hAnsi="宋体" w:eastAsia="宋体" w:cs="宋体"/>
                <w:b/>
                <w:color w:val="000000" w:themeColor="text1"/>
                <w:kern w:val="0"/>
                <w:sz w:val="22"/>
                <w:szCs w:val="24"/>
                <w14:textFill>
                  <w14:solidFill>
                    <w14:schemeClr w14:val="tx1"/>
                  </w14:solidFill>
                </w14:textFill>
              </w:rPr>
            </w:pPr>
            <w:r>
              <w:rPr>
                <w:rFonts w:hint="eastAsia" w:ascii="宋体" w:hAnsi="宋体" w:eastAsia="宋体" w:cs="宋体"/>
                <w:b/>
                <w:color w:val="000000" w:themeColor="text1"/>
                <w:kern w:val="0"/>
                <w:sz w:val="22"/>
                <w:szCs w:val="24"/>
                <w14:textFill>
                  <w14:solidFill>
                    <w14:schemeClr w14:val="tx1"/>
                  </w14:solidFill>
                </w14:textFill>
              </w:rPr>
              <w:t>分值</w:t>
            </w:r>
          </w:p>
        </w:tc>
        <w:tc>
          <w:tcPr>
            <w:tcW w:w="1417" w:type="dxa"/>
          </w:tcPr>
          <w:p>
            <w:pPr>
              <w:widowControl/>
              <w:spacing w:line="480" w:lineRule="auto"/>
              <w:rPr>
                <w:rFonts w:ascii="宋体" w:hAnsi="宋体" w:eastAsia="宋体" w:cs="宋体"/>
                <w:b/>
                <w:color w:val="000000" w:themeColor="text1"/>
                <w:kern w:val="0"/>
                <w:sz w:val="22"/>
                <w:szCs w:val="24"/>
                <w14:textFill>
                  <w14:solidFill>
                    <w14:schemeClr w14:val="tx1"/>
                  </w14:solidFill>
                </w14:textFill>
              </w:rPr>
            </w:pPr>
            <w:r>
              <w:rPr>
                <w:rFonts w:hint="eastAsia" w:ascii="宋体" w:hAnsi="宋体" w:eastAsia="宋体" w:cs="宋体"/>
                <w:b/>
                <w:color w:val="000000" w:themeColor="text1"/>
                <w:kern w:val="0"/>
                <w:sz w:val="22"/>
                <w:szCs w:val="24"/>
                <w14:textFill>
                  <w14:solidFill>
                    <w14:schemeClr w14:val="tx1"/>
                  </w14:solidFill>
                </w14:textFill>
              </w:rPr>
              <w:t>客观评审项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widowControl/>
              <w:spacing w:line="480" w:lineRule="auto"/>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p>
        </w:tc>
        <w:tc>
          <w:tcPr>
            <w:tcW w:w="993" w:type="dxa"/>
          </w:tcPr>
          <w:p>
            <w:pPr>
              <w:widowControl/>
              <w:spacing w:line="480" w:lineRule="auto"/>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p>
        </w:tc>
        <w:tc>
          <w:tcPr>
            <w:tcW w:w="1701" w:type="dxa"/>
          </w:tcPr>
          <w:p>
            <w:pPr>
              <w:widowControl/>
              <w:spacing w:line="480" w:lineRule="auto"/>
              <w:rPr>
                <w:rFonts w:ascii="宋体" w:hAnsi="宋体" w:eastAsia="宋体" w:cs="宋体"/>
                <w:color w:val="000000" w:themeColor="text1"/>
                <w:kern w:val="0"/>
                <w:sz w:val="24"/>
                <w:szCs w:val="24"/>
                <w14:textFill>
                  <w14:solidFill>
                    <w14:schemeClr w14:val="tx1"/>
                  </w14:solidFill>
                </w14:textFill>
              </w:rPr>
            </w:pPr>
          </w:p>
        </w:tc>
        <w:tc>
          <w:tcPr>
            <w:tcW w:w="4961" w:type="dxa"/>
          </w:tcPr>
          <w:p>
            <w:pPr>
              <w:widowControl/>
              <w:spacing w:line="480" w:lineRule="auto"/>
              <w:rPr>
                <w:rFonts w:ascii="宋体" w:hAnsi="宋体" w:eastAsia="宋体" w:cs="宋体"/>
                <w:color w:val="000000" w:themeColor="text1"/>
                <w:kern w:val="0"/>
                <w:sz w:val="24"/>
                <w:szCs w:val="24"/>
                <w14:textFill>
                  <w14:solidFill>
                    <w14:schemeClr w14:val="tx1"/>
                  </w14:solidFill>
                </w14:textFill>
              </w:rPr>
            </w:pPr>
          </w:p>
        </w:tc>
        <w:tc>
          <w:tcPr>
            <w:tcW w:w="851" w:type="dxa"/>
          </w:tcPr>
          <w:p>
            <w:pPr>
              <w:widowControl/>
              <w:spacing w:line="480" w:lineRule="auto"/>
              <w:rPr>
                <w:rFonts w:ascii="宋体" w:hAnsi="宋体" w:eastAsia="宋体" w:cs="宋体"/>
                <w:color w:val="000000" w:themeColor="text1"/>
                <w:kern w:val="0"/>
                <w:sz w:val="24"/>
                <w:szCs w:val="24"/>
                <w14:textFill>
                  <w14:solidFill>
                    <w14:schemeClr w14:val="tx1"/>
                  </w14:solidFill>
                </w14:textFill>
              </w:rPr>
            </w:pPr>
          </w:p>
        </w:tc>
        <w:tc>
          <w:tcPr>
            <w:tcW w:w="1417" w:type="dxa"/>
          </w:tcPr>
          <w:p>
            <w:pPr>
              <w:widowControl/>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pPr>
              <w:widowControl/>
              <w:spacing w:line="480" w:lineRule="auto"/>
              <w:rPr>
                <w:rFonts w:ascii="宋体" w:hAnsi="宋体" w:eastAsia="宋体" w:cs="宋体"/>
                <w:color w:val="000000" w:themeColor="text1"/>
                <w:kern w:val="0"/>
                <w:sz w:val="24"/>
                <w:szCs w:val="24"/>
                <w14:textFill>
                  <w14:solidFill>
                    <w14:schemeClr w14:val="tx1"/>
                  </w14:solidFill>
                </w14:textFill>
              </w:rPr>
            </w:pPr>
          </w:p>
        </w:tc>
        <w:tc>
          <w:tcPr>
            <w:tcW w:w="993" w:type="dxa"/>
          </w:tcPr>
          <w:p>
            <w:pPr>
              <w:widowControl/>
              <w:spacing w:line="480" w:lineRule="auto"/>
              <w:rPr>
                <w:rFonts w:ascii="宋体" w:hAnsi="宋体" w:eastAsia="宋体" w:cs="宋体"/>
                <w:color w:val="000000" w:themeColor="text1"/>
                <w:kern w:val="0"/>
                <w:sz w:val="24"/>
                <w:szCs w:val="24"/>
                <w14:textFill>
                  <w14:solidFill>
                    <w14:schemeClr w14:val="tx1"/>
                  </w14:solidFill>
                </w14:textFill>
              </w:rPr>
            </w:pPr>
          </w:p>
        </w:tc>
        <w:tc>
          <w:tcPr>
            <w:tcW w:w="1701" w:type="dxa"/>
          </w:tcPr>
          <w:p>
            <w:pPr>
              <w:widowControl/>
              <w:spacing w:line="480" w:lineRule="auto"/>
              <w:rPr>
                <w:rFonts w:ascii="宋体" w:hAnsi="宋体" w:eastAsia="宋体" w:cs="宋体"/>
                <w:color w:val="000000" w:themeColor="text1"/>
                <w:kern w:val="0"/>
                <w:sz w:val="24"/>
                <w:szCs w:val="24"/>
                <w14:textFill>
                  <w14:solidFill>
                    <w14:schemeClr w14:val="tx1"/>
                  </w14:solidFill>
                </w14:textFill>
              </w:rPr>
            </w:pPr>
          </w:p>
        </w:tc>
        <w:tc>
          <w:tcPr>
            <w:tcW w:w="4961" w:type="dxa"/>
          </w:tcPr>
          <w:p>
            <w:pPr>
              <w:widowControl/>
              <w:spacing w:line="480" w:lineRule="auto"/>
              <w:rPr>
                <w:rFonts w:ascii="宋体" w:hAnsi="宋体" w:eastAsia="宋体" w:cs="宋体"/>
                <w:color w:val="000000" w:themeColor="text1"/>
                <w:kern w:val="0"/>
                <w:sz w:val="24"/>
                <w:szCs w:val="24"/>
                <w14:textFill>
                  <w14:solidFill>
                    <w14:schemeClr w14:val="tx1"/>
                  </w14:solidFill>
                </w14:textFill>
              </w:rPr>
            </w:pPr>
          </w:p>
        </w:tc>
        <w:tc>
          <w:tcPr>
            <w:tcW w:w="851" w:type="dxa"/>
          </w:tcPr>
          <w:p>
            <w:pPr>
              <w:widowControl/>
              <w:spacing w:line="480" w:lineRule="auto"/>
              <w:rPr>
                <w:rFonts w:ascii="宋体" w:hAnsi="宋体" w:eastAsia="宋体" w:cs="宋体"/>
                <w:color w:val="000000" w:themeColor="text1"/>
                <w:kern w:val="0"/>
                <w:sz w:val="24"/>
                <w:szCs w:val="24"/>
                <w14:textFill>
                  <w14:solidFill>
                    <w14:schemeClr w14:val="tx1"/>
                  </w14:solidFill>
                </w14:textFill>
              </w:rPr>
            </w:pPr>
          </w:p>
        </w:tc>
        <w:tc>
          <w:tcPr>
            <w:tcW w:w="1417" w:type="dxa"/>
          </w:tcPr>
          <w:p>
            <w:pPr>
              <w:widowControl/>
              <w:spacing w:line="480" w:lineRule="auto"/>
              <w:rPr>
                <w:rFonts w:ascii="宋体" w:hAnsi="宋体" w:eastAsia="宋体" w:cs="宋体"/>
                <w:color w:val="000000" w:themeColor="text1"/>
                <w:kern w:val="0"/>
                <w:sz w:val="24"/>
                <w:szCs w:val="24"/>
                <w14:textFill>
                  <w14:solidFill>
                    <w14:schemeClr w14:val="tx1"/>
                  </w14:solidFill>
                </w14:textFill>
              </w:rPr>
            </w:pPr>
          </w:p>
        </w:tc>
      </w:tr>
    </w:tbl>
    <w:p>
      <w:pPr>
        <w:widowControl/>
        <w:shd w:val="clear" w:color="auto" w:fill="FFFFFF"/>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最低</w:t>
      </w:r>
      <w:r>
        <w:rPr>
          <w:rFonts w:ascii="宋体" w:hAnsi="宋体" w:eastAsia="宋体" w:cs="宋体"/>
          <w:color w:val="000000" w:themeColor="text1"/>
          <w:kern w:val="0"/>
          <w:sz w:val="24"/>
          <w:szCs w:val="24"/>
          <w14:textFill>
            <w14:solidFill>
              <w14:schemeClr w14:val="tx1"/>
            </w14:solidFill>
          </w14:textFill>
        </w:rPr>
        <w:t>评标价法</w:t>
      </w:r>
    </w:p>
    <w:p>
      <w:pPr>
        <w:widowControl/>
        <w:shd w:val="clear" w:color="auto" w:fill="FFFFFF"/>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评审因素： </w:t>
      </w:r>
    </w:p>
    <w:p>
      <w:pPr>
        <w:widowControl/>
        <w:shd w:val="clear" w:color="auto" w:fill="FFFFFF"/>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扣除比例</w:t>
      </w:r>
      <w:r>
        <w:rPr>
          <w:rFonts w:ascii="宋体" w:hAnsi="宋体" w:eastAsia="宋体" w:cs="宋体"/>
          <w:color w:val="000000" w:themeColor="text1"/>
          <w:kern w:val="0"/>
          <w:sz w:val="24"/>
          <w:szCs w:val="24"/>
          <w14:textFill>
            <w14:solidFill>
              <w14:schemeClr w14:val="tx1"/>
            </w14:solidFill>
          </w14:textFill>
        </w:rPr>
        <w:t>%：</w:t>
      </w:r>
    </w:p>
    <w:p>
      <w:pPr>
        <w:widowControl/>
        <w:shd w:val="clear" w:color="auto" w:fill="FFFFFF"/>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评审标准：</w:t>
      </w:r>
    </w:p>
    <w:p>
      <w:pPr>
        <w:widowControl/>
        <w:shd w:val="clear" w:color="auto" w:fill="FFFFFF"/>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8、合同管理安排</w:t>
      </w:r>
    </w:p>
    <w:p>
      <w:pPr>
        <w:widowControl/>
        <w:shd w:val="clear" w:color="auto" w:fill="FFFFFF"/>
        <w:spacing w:line="480" w:lineRule="auto"/>
        <w:ind w:firstLine="840"/>
        <w:rPr>
          <w:rFonts w:ascii="宋体" w:hAnsi="宋体" w:eastAsia="宋体" w:cs="宋体"/>
          <w:color w:val="000000" w:themeColor="text1"/>
          <w:kern w:val="0"/>
          <w:sz w:val="24"/>
          <w:szCs w:val="24"/>
          <w:shd w:val="clear" w:color="auto" w:fill="FFFF00"/>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1）合同类型：</w:t>
      </w:r>
      <w:r>
        <w:rPr>
          <w:rFonts w:hint="eastAsia" w:ascii="宋体" w:hAnsi="宋体" w:eastAsia="宋体" w:cs="宋体"/>
          <w:color w:val="000000" w:themeColor="text1"/>
          <w:kern w:val="0"/>
          <w:sz w:val="24"/>
          <w:szCs w:val="24"/>
          <w14:textFill>
            <w14:solidFill>
              <w14:schemeClr w14:val="tx1"/>
            </w14:solidFill>
          </w14:textFill>
        </w:rPr>
        <w:t>买卖合同</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 xml:space="preserve">  租赁合同□  建设工程合同□  技术合同□委托合同□  物业管理合同□  其他合同□</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）合同履行期限：</w:t>
      </w:r>
      <w:r>
        <w:rPr>
          <w:rFonts w:hint="eastAsia" w:ascii="宋体" w:hAnsi="宋体" w:eastAsia="宋体" w:cs="宋体"/>
          <w:color w:val="000000" w:themeColor="text1"/>
          <w:kern w:val="0"/>
          <w:sz w:val="24"/>
          <w:szCs w:val="24"/>
          <w14:textFill>
            <w14:solidFill>
              <w14:schemeClr w14:val="tx1"/>
            </w14:solidFill>
          </w14:textFill>
        </w:rPr>
        <w:t>自合同签订之日起</w:t>
      </w:r>
      <w:r>
        <w:rPr>
          <w:rFonts w:hint="eastAsia" w:ascii="宋体" w:hAnsi="宋体" w:eastAsia="宋体" w:cs="宋体"/>
          <w:color w:val="000000" w:themeColor="text1"/>
          <w:kern w:val="0"/>
          <w:sz w:val="24"/>
          <w:szCs w:val="24"/>
          <w14:textFill>
            <w14:solidFill>
              <w14:schemeClr w14:val="tx1"/>
            </w14:solidFill>
          </w14:textFill>
        </w:rPr>
        <w:t>30</w:t>
      </w:r>
      <w:r>
        <w:rPr>
          <w:rFonts w:hint="eastAsia" w:ascii="宋体" w:hAnsi="宋体" w:eastAsia="宋体" w:cs="宋体"/>
          <w:color w:val="000000" w:themeColor="text1"/>
          <w:kern w:val="0"/>
          <w:sz w:val="24"/>
          <w:szCs w:val="24"/>
          <w:lang w:eastAsia="zh-CN"/>
          <w14:textFill>
            <w14:solidFill>
              <w14:schemeClr w14:val="tx1"/>
            </w14:solidFill>
          </w14:textFill>
        </w:rPr>
        <w:t>个工作</w:t>
      </w:r>
      <w:r>
        <w:rPr>
          <w:rFonts w:hint="eastAsia" w:ascii="宋体" w:hAnsi="宋体" w:eastAsia="宋体" w:cs="宋体"/>
          <w:color w:val="000000" w:themeColor="text1"/>
          <w:kern w:val="0"/>
          <w:sz w:val="24"/>
          <w:szCs w:val="24"/>
          <w14:textFill>
            <w14:solidFill>
              <w14:schemeClr w14:val="tx1"/>
            </w14:solidFill>
          </w14:textFill>
        </w:rPr>
        <w:t>日</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）合同履约地点：西华大学校本部</w:t>
      </w:r>
    </w:p>
    <w:p>
      <w:pPr>
        <w:widowControl/>
        <w:shd w:val="clear" w:color="auto" w:fill="FFFFFF"/>
        <w:spacing w:line="480" w:lineRule="auto"/>
        <w:ind w:firstLine="840"/>
        <w:rPr>
          <w:rFonts w:ascii="宋体" w:hAnsi="宋体" w:eastAsia="宋体" w:cs="宋体"/>
          <w:color w:val="000000" w:themeColor="text1"/>
          <w:kern w:val="0"/>
          <w:sz w:val="24"/>
          <w:szCs w:val="24"/>
          <w:shd w:val="clear" w:color="auto" w:fill="FFFF00"/>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）支付方式：</w:t>
      </w:r>
      <w:r>
        <w:rPr>
          <w:rFonts w:hint="eastAsia"/>
          <w:color w:val="000000" w:themeColor="text1"/>
          <w:sz w:val="24"/>
          <w14:textFill>
            <w14:solidFill>
              <w14:schemeClr w14:val="tx1"/>
            </w14:solidFill>
          </w14:textFill>
        </w:rPr>
        <w:t>一次付清</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color w:val="000000" w:themeColor="text1"/>
          <w:sz w:val="24"/>
          <w14:textFill>
            <w14:solidFill>
              <w14:schemeClr w14:val="tx1"/>
            </w14:solidFill>
          </w14:textFill>
        </w:rPr>
        <w:t>分期付款</w:t>
      </w:r>
      <w:r>
        <w:rPr>
          <w:rFonts w:hint="eastAsia" w:ascii="宋体" w:hAnsi="宋体" w:eastAsia="宋体" w:cs="宋体"/>
          <w:color w:val="000000" w:themeColor="text1"/>
          <w:kern w:val="0"/>
          <w:sz w:val="24"/>
          <w:szCs w:val="24"/>
          <w14:textFill>
            <w14:solidFill>
              <w14:schemeClr w14:val="tx1"/>
            </w14:solidFill>
          </w14:textFill>
        </w:rPr>
        <w:t>□比例</w:t>
      </w:r>
      <w:r>
        <w:rPr>
          <w:rFonts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 xml:space="preserve">  （0</w:t>
      </w:r>
      <w:r>
        <w:rPr>
          <w:rFonts w:ascii="宋体" w:hAnsi="宋体" w:eastAsia="宋体" w:cs="宋体"/>
          <w:color w:val="000000" w:themeColor="text1"/>
          <w:kern w:val="0"/>
          <w:sz w:val="24"/>
          <w:szCs w:val="24"/>
          <w14:textFill>
            <w14:solidFill>
              <w14:schemeClr w14:val="tx1"/>
            </w14:solidFill>
          </w14:textFill>
        </w:rPr>
        <w:t>-100%可选</w:t>
      </w:r>
      <w:r>
        <w:rPr>
          <w:rFonts w:hint="eastAsia" w:ascii="宋体" w:hAnsi="宋体" w:eastAsia="宋体" w:cs="宋体"/>
          <w:color w:val="000000" w:themeColor="text1"/>
          <w:kern w:val="0"/>
          <w:sz w:val="24"/>
          <w:szCs w:val="24"/>
          <w14:textFill>
            <w14:solidFill>
              <w14:schemeClr w14:val="tx1"/>
            </w14:solidFill>
          </w14:textFill>
        </w:rPr>
        <w:t>）</w:t>
      </w:r>
    </w:p>
    <w:p>
      <w:pPr>
        <w:spacing w:line="480" w:lineRule="auto"/>
        <w:ind w:firstLine="720" w:firstLineChars="3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）履约保证金及缴纳形式：</w:t>
      </w:r>
    </w:p>
    <w:p>
      <w:pPr>
        <w:spacing w:line="480" w:lineRule="auto"/>
        <w:ind w:firstLine="720" w:firstLineChars="3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中标/成交供应商是否需要缴纳履约保证金：</w:t>
      </w:r>
    </w:p>
    <w:p>
      <w:pPr>
        <w:spacing w:line="480" w:lineRule="auto"/>
        <w:ind w:firstLine="720" w:firstLineChars="3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履约保证金缴纳比例：</w:t>
      </w:r>
      <w:r>
        <w:rPr>
          <w:rFonts w:hint="eastAsia"/>
          <w:color w:val="000000" w:themeColor="text1"/>
          <w:sz w:val="24"/>
          <w:szCs w:val="24"/>
          <w:lang w:val="en-US" w:eastAsia="zh-CN"/>
          <w14:textFill>
            <w14:solidFill>
              <w14:schemeClr w14:val="tx1"/>
            </w14:solidFill>
          </w14:textFill>
        </w:rPr>
        <w:t>0</w:t>
      </w:r>
      <w:r>
        <w:rPr>
          <w:rFonts w:hint="eastAsia"/>
          <w:color w:val="000000" w:themeColor="text1"/>
          <w:sz w:val="24"/>
          <w:szCs w:val="24"/>
          <w14:textFill>
            <w14:solidFill>
              <w14:schemeClr w14:val="tx1"/>
            </w14:solidFill>
          </w14:textFill>
        </w:rPr>
        <w:t>%</w:t>
      </w:r>
    </w:p>
    <w:p>
      <w:pPr>
        <w:spacing w:line="480" w:lineRule="auto"/>
        <w:ind w:firstLine="720" w:firstLineChars="3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缴纳方式：银行转账</w:t>
      </w:r>
    </w:p>
    <w:p>
      <w:pPr>
        <w:spacing w:line="480" w:lineRule="auto"/>
        <w:ind w:firstLine="720" w:firstLineChars="3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缴纳说明：缴纳履约保证金后签订合同</w:t>
      </w:r>
    </w:p>
    <w:p>
      <w:pPr>
        <w:spacing w:line="480" w:lineRule="auto"/>
        <w:ind w:firstLine="720" w:firstLineChars="3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）质量保证金及缴纳形式：</w:t>
      </w:r>
    </w:p>
    <w:p>
      <w:pPr>
        <w:spacing w:line="480" w:lineRule="auto"/>
        <w:ind w:firstLine="600" w:firstLineChars="25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中标/成交供应商是否需要缴纳质量保证金：否</w:t>
      </w:r>
    </w:p>
    <w:p>
      <w:pPr>
        <w:widowControl/>
        <w:shd w:val="clear" w:color="auto" w:fill="FFFFFF"/>
        <w:spacing w:line="480" w:lineRule="auto"/>
        <w:ind w:firstLine="720" w:firstLineChars="3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合同支付约定</w:t>
      </w:r>
    </w:p>
    <w:p>
      <w:pPr>
        <w:spacing w:line="480" w:lineRule="auto"/>
        <w:ind w:firstLine="720" w:firstLineChars="3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全部货物安装调试完毕并验收合格之日起，甲方接到乙方通知与票据凭证资料以后的30日内，按照财政性资金支付有关规定，向乙方支付合同价款100%</w:t>
      </w:r>
    </w:p>
    <w:p>
      <w:pPr>
        <w:widowControl/>
        <w:shd w:val="clear" w:color="auto" w:fill="FFFFFF"/>
        <w:spacing w:line="480" w:lineRule="auto"/>
        <w:ind w:firstLine="720" w:firstLineChars="3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付款</w:t>
      </w:r>
      <w:r>
        <w:rPr>
          <w:rFonts w:ascii="宋体" w:hAnsi="宋体" w:eastAsia="宋体" w:cs="宋体"/>
          <w:color w:val="000000" w:themeColor="text1"/>
          <w:kern w:val="0"/>
          <w:sz w:val="24"/>
          <w:szCs w:val="24"/>
          <w14:textFill>
            <w14:solidFill>
              <w14:schemeClr w14:val="tx1"/>
            </w14:solidFill>
          </w14:textFill>
        </w:rPr>
        <w:t>条件：</w:t>
      </w:r>
    </w:p>
    <w:p>
      <w:pPr>
        <w:widowControl/>
        <w:shd w:val="clear" w:color="auto" w:fill="FFFFFF"/>
        <w:spacing w:line="480" w:lineRule="auto"/>
        <w:ind w:firstLine="720" w:firstLineChars="3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达到付款</w:t>
      </w:r>
      <w:r>
        <w:rPr>
          <w:rFonts w:ascii="宋体" w:hAnsi="宋体" w:eastAsia="宋体" w:cs="宋体"/>
          <w:color w:val="000000" w:themeColor="text1"/>
          <w:kern w:val="0"/>
          <w:sz w:val="24"/>
          <w:szCs w:val="24"/>
          <w14:textFill>
            <w14:solidFill>
              <w14:schemeClr w14:val="tx1"/>
            </w14:solidFill>
          </w14:textFill>
        </w:rPr>
        <w:t>条件起</w:t>
      </w:r>
      <w:r>
        <w:rPr>
          <w:rFonts w:hint="eastAsia" w:ascii="宋体" w:hAnsi="宋体" w:eastAsia="宋体" w:cs="宋体"/>
          <w:color w:val="000000" w:themeColor="text1"/>
          <w:kern w:val="0"/>
          <w:sz w:val="24"/>
          <w:szCs w:val="24"/>
          <w14:textFill>
            <w14:solidFill>
              <w14:schemeClr w14:val="tx1"/>
            </w14:solidFill>
          </w14:textFill>
        </w:rPr>
        <w:t>30日</w:t>
      </w:r>
      <w:r>
        <w:rPr>
          <w:rFonts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 xml:space="preserve"> 支付合同</w:t>
      </w:r>
      <w:r>
        <w:rPr>
          <w:rFonts w:ascii="宋体" w:hAnsi="宋体" w:eastAsia="宋体" w:cs="宋体"/>
          <w:color w:val="000000" w:themeColor="text1"/>
          <w:kern w:val="0"/>
          <w:sz w:val="24"/>
          <w:szCs w:val="24"/>
          <w14:textFill>
            <w14:solidFill>
              <w14:schemeClr w14:val="tx1"/>
            </w14:solidFill>
          </w14:textFill>
        </w:rPr>
        <w:t>总金额</w:t>
      </w:r>
      <w:r>
        <w:rPr>
          <w:rFonts w:hint="eastAsia" w:ascii="宋体" w:hAnsi="宋体" w:eastAsia="宋体" w:cs="宋体"/>
          <w:color w:val="000000" w:themeColor="text1"/>
          <w:kern w:val="0"/>
          <w:sz w:val="24"/>
          <w:szCs w:val="24"/>
          <w14:textFill>
            <w14:solidFill>
              <w14:schemeClr w14:val="tx1"/>
            </w14:solidFill>
          </w14:textFill>
        </w:rPr>
        <w:t>100</w:t>
      </w:r>
      <w:r>
        <w:rPr>
          <w:rFonts w:ascii="宋体" w:hAnsi="宋体" w:eastAsia="宋体" w:cs="宋体"/>
          <w:color w:val="000000" w:themeColor="text1"/>
          <w:kern w:val="0"/>
          <w:sz w:val="24"/>
          <w:szCs w:val="24"/>
          <w14:textFill>
            <w14:solidFill>
              <w14:schemeClr w14:val="tx1"/>
            </w14:solidFill>
          </w14:textFill>
        </w:rPr>
        <w:t>%。</w:t>
      </w:r>
    </w:p>
    <w:p>
      <w:pPr>
        <w:widowControl/>
        <w:shd w:val="clear" w:color="auto" w:fill="FFFFFF"/>
        <w:spacing w:line="480" w:lineRule="auto"/>
        <w:ind w:firstLine="720" w:firstLineChars="3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分期付款条件（如有）：</w:t>
      </w:r>
    </w:p>
    <w:p>
      <w:pPr>
        <w:widowControl/>
        <w:shd w:val="clear" w:color="auto" w:fill="FFFFFF"/>
        <w:spacing w:line="480" w:lineRule="auto"/>
        <w:ind w:firstLine="720" w:firstLineChars="3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达到付款</w:t>
      </w:r>
      <w:r>
        <w:rPr>
          <w:rFonts w:ascii="宋体" w:hAnsi="宋体" w:eastAsia="宋体" w:cs="宋体"/>
          <w:color w:val="000000" w:themeColor="text1"/>
          <w:kern w:val="0"/>
          <w:sz w:val="24"/>
          <w:szCs w:val="24"/>
          <w14:textFill>
            <w14:solidFill>
              <w14:schemeClr w14:val="tx1"/>
            </w14:solidFill>
          </w14:textFill>
        </w:rPr>
        <w:t>条件起</w:t>
      </w:r>
      <w:r>
        <w:rPr>
          <w:rFonts w:hint="eastAsia" w:ascii="宋体" w:hAnsi="宋体" w:eastAsia="宋体" w:cs="宋体"/>
          <w:color w:val="000000" w:themeColor="text1"/>
          <w:kern w:val="0"/>
          <w:sz w:val="24"/>
          <w:szCs w:val="24"/>
          <w14:textFill>
            <w14:solidFill>
              <w14:schemeClr w14:val="tx1"/>
            </w14:solidFill>
          </w14:textFill>
        </w:rPr>
        <w:t xml:space="preserve">     日</w:t>
      </w:r>
      <w:r>
        <w:rPr>
          <w:rFonts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 xml:space="preserve"> 支付合同</w:t>
      </w:r>
      <w:r>
        <w:rPr>
          <w:rFonts w:ascii="宋体" w:hAnsi="宋体" w:eastAsia="宋体" w:cs="宋体"/>
          <w:color w:val="000000" w:themeColor="text1"/>
          <w:kern w:val="0"/>
          <w:sz w:val="24"/>
          <w:szCs w:val="24"/>
          <w14:textFill>
            <w14:solidFill>
              <w14:schemeClr w14:val="tx1"/>
            </w14:solidFill>
          </w14:textFill>
        </w:rPr>
        <w:t>总金额%。</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7</w:t>
      </w:r>
      <w:r>
        <w:rPr>
          <w:rFonts w:hint="eastAsia" w:ascii="宋体" w:hAnsi="宋体" w:eastAsia="宋体" w:cs="宋体"/>
          <w:color w:val="000000" w:themeColor="text1"/>
          <w:kern w:val="0"/>
          <w:sz w:val="24"/>
          <w:szCs w:val="24"/>
          <w14:textFill>
            <w14:solidFill>
              <w14:schemeClr w14:val="tx1"/>
            </w14:solidFill>
          </w14:textFill>
        </w:rPr>
        <w:t>）验收交付标准和方法：</w:t>
      </w:r>
    </w:p>
    <w:p>
      <w:pPr>
        <w:widowControl/>
        <w:shd w:val="clear" w:color="auto" w:fill="FFFFFF"/>
        <w:spacing w:line="480" w:lineRule="auto"/>
        <w:ind w:firstLine="84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按国家有关规定以及招标文件的质量要求和技术指标、投标响应文件及承诺与本合同约定标准进行验收；双方如对质量要求和技术指标的约定标准有相互抵触或异议的事项，由采购人在招标与投标文件中按质量要求和技术指标比较优胜的原则确定该项的约定标准进行验收。</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8</w:t>
      </w:r>
      <w:r>
        <w:rPr>
          <w:rFonts w:hint="eastAsia" w:ascii="宋体" w:hAnsi="宋体" w:eastAsia="宋体" w:cs="宋体"/>
          <w:color w:val="000000" w:themeColor="text1"/>
          <w:kern w:val="0"/>
          <w:sz w:val="24"/>
          <w:szCs w:val="24"/>
          <w14:textFill>
            <w14:solidFill>
              <w14:schemeClr w14:val="tx1"/>
            </w14:solidFill>
          </w14:textFill>
        </w:rPr>
        <w:t>）质量保修范围和保修期：</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color w:val="000000" w:themeColor="text1"/>
          <w:kern w:val="0"/>
          <w:sz w:val="24"/>
          <w:lang w:eastAsia="zh-CN"/>
          <w14:textFill>
            <w14:solidFill>
              <w14:schemeClr w14:val="tx1"/>
            </w14:solidFill>
          </w14:textFill>
        </w:rPr>
        <w:t>提供原厂售后服务期限或更优的售后服务方案，售后服务期</w:t>
      </w:r>
      <w:r>
        <w:rPr>
          <w:color w:val="000000" w:themeColor="text1"/>
          <w:kern w:val="0"/>
          <w:sz w:val="24"/>
          <w14:textFill>
            <w14:solidFill>
              <w14:schemeClr w14:val="tx1"/>
            </w14:solidFill>
          </w14:textFill>
        </w:rPr>
        <w:t>内免费维护硬件及软件升级，质保期外，</w:t>
      </w:r>
      <w:r>
        <w:rPr>
          <w:rFonts w:hint="eastAsia"/>
          <w:color w:val="000000" w:themeColor="text1"/>
          <w:kern w:val="0"/>
          <w:sz w:val="24"/>
          <w14:textFill>
            <w14:solidFill>
              <w14:schemeClr w14:val="tx1"/>
            </w14:solidFill>
          </w14:textFill>
        </w:rPr>
        <w:t>供应商</w:t>
      </w:r>
      <w:r>
        <w:rPr>
          <w:color w:val="000000" w:themeColor="text1"/>
          <w:kern w:val="0"/>
          <w:sz w:val="24"/>
          <w14:textFill>
            <w14:solidFill>
              <w14:schemeClr w14:val="tx1"/>
            </w14:solidFill>
          </w14:textFill>
        </w:rPr>
        <w:t>应继续提供优质服务。</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9</w:t>
      </w:r>
      <w:r>
        <w:rPr>
          <w:rFonts w:hint="eastAsia" w:ascii="宋体" w:hAnsi="宋体" w:eastAsia="宋体" w:cs="宋体"/>
          <w:color w:val="000000" w:themeColor="text1"/>
          <w:kern w:val="0"/>
          <w:sz w:val="24"/>
          <w:szCs w:val="24"/>
          <w14:textFill>
            <w14:solidFill>
              <w14:schemeClr w14:val="tx1"/>
            </w14:solidFill>
          </w14:textFill>
        </w:rPr>
        <w:t>）知识产权归属和处理方式：</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ascii="宋体" w:hAnsi="宋体" w:eastAsia="宋体" w:cs="宋体"/>
          <w:color w:val="000000" w:themeColor="text1"/>
          <w:kern w:val="0"/>
          <w:sz w:val="24"/>
          <w:szCs w:val="24"/>
          <w14:textFill>
            <w14:solidFill>
              <w14:schemeClr w14:val="tx1"/>
            </w14:solidFill>
          </w14:textFill>
        </w:rPr>
        <w:t>0</w:t>
      </w:r>
      <w:r>
        <w:rPr>
          <w:rFonts w:hint="eastAsia" w:ascii="宋体" w:hAnsi="宋体" w:eastAsia="宋体" w:cs="宋体"/>
          <w:color w:val="000000" w:themeColor="text1"/>
          <w:kern w:val="0"/>
          <w:sz w:val="24"/>
          <w:szCs w:val="24"/>
          <w14:textFill>
            <w14:solidFill>
              <w14:schemeClr w14:val="tx1"/>
            </w14:solidFill>
          </w14:textFill>
        </w:rPr>
        <w:t>）成本补偿和风险分担约定：</w:t>
      </w:r>
    </w:p>
    <w:p>
      <w:pPr>
        <w:widowControl/>
        <w:shd w:val="clear" w:color="auto" w:fill="FFFFFF"/>
        <w:spacing w:line="480" w:lineRule="auto"/>
        <w:ind w:firstLine="840"/>
        <w:rPr>
          <w:rFonts w:ascii="宋体" w:hAnsi="宋体" w:eastAsia="宋体" w:cs="宋体"/>
          <w:color w:val="000000" w:themeColor="text1"/>
          <w:kern w:val="0"/>
          <w:sz w:val="24"/>
          <w:szCs w:val="24"/>
          <w:shd w:val="clear" w:color="auto" w:fill="FFFF00"/>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）违约责任与解决争议的方法：</w:t>
      </w:r>
    </w:p>
    <w:p>
      <w:pPr>
        <w:widowControl/>
        <w:shd w:val="clear" w:color="auto" w:fill="FFFFFF"/>
        <w:spacing w:line="480" w:lineRule="auto"/>
        <w:ind w:firstLine="84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（1）因</w:t>
      </w:r>
      <w:r>
        <w:rPr>
          <w:rFonts w:hint="eastAsia"/>
          <w:color w:val="000000" w:themeColor="text1"/>
          <w:sz w:val="24"/>
          <w:szCs w:val="24"/>
          <w:lang w:eastAsia="zh-CN"/>
          <w14:textFill>
            <w14:solidFill>
              <w14:schemeClr w14:val="tx1"/>
            </w14:solidFill>
          </w14:textFill>
        </w:rPr>
        <w:t>车辆</w:t>
      </w:r>
      <w:r>
        <w:rPr>
          <w:rFonts w:hint="eastAsia"/>
          <w:color w:val="000000" w:themeColor="text1"/>
          <w:sz w:val="24"/>
          <w:szCs w:val="24"/>
          <w14:textFill>
            <w14:solidFill>
              <w14:schemeClr w14:val="tx1"/>
            </w14:solidFill>
          </w14:textFill>
        </w:rPr>
        <w:t>的质量问题发生争议，由质量技术监督部门或其指定的质量鉴定机构进行质量鉴定。</w:t>
      </w:r>
      <w:r>
        <w:rPr>
          <w:rFonts w:hint="eastAsia"/>
          <w:color w:val="000000" w:themeColor="text1"/>
          <w:sz w:val="24"/>
          <w:szCs w:val="24"/>
          <w:lang w:eastAsia="zh-CN"/>
          <w14:textFill>
            <w14:solidFill>
              <w14:schemeClr w14:val="tx1"/>
            </w14:solidFill>
          </w14:textFill>
        </w:rPr>
        <w:t>车辆</w:t>
      </w:r>
      <w:r>
        <w:rPr>
          <w:rFonts w:hint="eastAsia"/>
          <w:color w:val="000000" w:themeColor="text1"/>
          <w:sz w:val="24"/>
          <w:szCs w:val="24"/>
          <w14:textFill>
            <w14:solidFill>
              <w14:schemeClr w14:val="tx1"/>
            </w14:solidFill>
          </w14:textFill>
        </w:rPr>
        <w:t>符合标准的，鉴定费由甲方承担；</w:t>
      </w:r>
      <w:r>
        <w:rPr>
          <w:rFonts w:hint="eastAsia"/>
          <w:color w:val="000000" w:themeColor="text1"/>
          <w:sz w:val="24"/>
          <w:szCs w:val="24"/>
          <w:lang w:eastAsia="zh-CN"/>
          <w14:textFill>
            <w14:solidFill>
              <w14:schemeClr w14:val="tx1"/>
            </w14:solidFill>
          </w14:textFill>
        </w:rPr>
        <w:t>车辆</w:t>
      </w:r>
      <w:r>
        <w:rPr>
          <w:rFonts w:hint="eastAsia"/>
          <w:color w:val="000000" w:themeColor="text1"/>
          <w:sz w:val="24"/>
          <w:szCs w:val="24"/>
          <w14:textFill>
            <w14:solidFill>
              <w14:schemeClr w14:val="tx1"/>
            </w14:solidFill>
          </w14:textFill>
        </w:rPr>
        <w:t>不符合质量标准的，鉴定费由乙方承担。</w:t>
      </w:r>
    </w:p>
    <w:p>
      <w:pPr>
        <w:widowControl/>
        <w:shd w:val="clear" w:color="auto" w:fill="FFFFFF"/>
        <w:spacing w:line="480" w:lineRule="auto"/>
        <w:ind w:firstLine="84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（2）合同履行期间,若双方发生争议，可协商或由有关部门调解解决，协商或调解不成的，</w:t>
      </w:r>
      <w:r>
        <w:rPr>
          <w:rFonts w:hint="eastAsia" w:asciiTheme="minorEastAsia" w:hAnsiTheme="minorEastAsia"/>
          <w:color w:val="000000" w:themeColor="text1"/>
          <w:sz w:val="24"/>
          <w:szCs w:val="28"/>
          <w14:textFill>
            <w14:solidFill>
              <w14:schemeClr w14:val="tx1"/>
            </w14:solidFill>
          </w14:textFill>
        </w:rPr>
        <w:t>可向</w:t>
      </w:r>
      <w:r>
        <w:rPr>
          <w:rFonts w:hint="eastAsia" w:asciiTheme="minorEastAsia" w:hAnsiTheme="minorEastAsia"/>
          <w:color w:val="000000" w:themeColor="text1"/>
          <w:sz w:val="24"/>
          <w:szCs w:val="28"/>
          <w:lang w:eastAsia="zh-CN"/>
          <w14:textFill>
            <w14:solidFill>
              <w14:schemeClr w14:val="tx1"/>
            </w14:solidFill>
          </w14:textFill>
        </w:rPr>
        <w:t>采购人</w:t>
      </w:r>
      <w:r>
        <w:rPr>
          <w:rFonts w:hint="eastAsia" w:asciiTheme="minorEastAsia" w:hAnsiTheme="minorEastAsia"/>
          <w:color w:val="000000" w:themeColor="text1"/>
          <w:sz w:val="24"/>
          <w:szCs w:val="28"/>
          <w14:textFill>
            <w14:solidFill>
              <w14:schemeClr w14:val="tx1"/>
            </w14:solidFill>
          </w14:textFill>
        </w:rPr>
        <w:t>所在地有管辖权的人民法院起诉</w:t>
      </w:r>
      <w:r>
        <w:rPr>
          <w:rFonts w:hint="eastAsia"/>
          <w:color w:val="000000" w:themeColor="text1"/>
          <w:sz w:val="24"/>
          <w:szCs w:val="24"/>
          <w14:textFill>
            <w14:solidFill>
              <w14:schemeClr w14:val="tx1"/>
            </w14:solidFill>
          </w14:textFill>
        </w:rPr>
        <w:t>。</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）合同其他条款：</w:t>
      </w:r>
    </w:p>
    <w:p>
      <w:pPr>
        <w:widowControl/>
        <w:shd w:val="clear" w:color="auto" w:fill="FFFFFF"/>
        <w:spacing w:line="480" w:lineRule="auto"/>
        <w:ind w:firstLine="72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如有未尽事宜，由双方依法订立补充合同。</w:t>
      </w:r>
    </w:p>
    <w:p>
      <w:pPr>
        <w:widowControl/>
        <w:shd w:val="clear" w:color="auto" w:fill="FFFFFF"/>
        <w:spacing w:line="480" w:lineRule="auto"/>
        <w:ind w:firstLine="42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9、履约验收方案</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1）验收组织方式：</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自行验收  □委托第三方验收</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2）是否邀请本项目的其他供应商：是□  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3）是否邀请专家：是□  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4）是否邀请服务对象：是□  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5）是否邀请第三方检测机构：是□  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6）履约验收程序：</w:t>
      </w: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ascii="宋体" w:hAnsi="宋体" w:eastAsia="宋体" w:cs="宋体"/>
          <w:color w:val="000000" w:themeColor="text1"/>
          <w:kern w:val="0"/>
          <w:sz w:val="24"/>
          <w:szCs w:val="24"/>
          <w14:textFill>
            <w14:solidFill>
              <w14:schemeClr w14:val="tx1"/>
            </w14:solidFill>
          </w14:textFill>
        </w:rPr>
        <w:t>一次性验收  □分段/分期验收</w:t>
      </w:r>
    </w:p>
    <w:p>
      <w:pPr>
        <w:spacing w:line="480" w:lineRule="auto"/>
        <w:ind w:firstLine="720" w:firstLineChars="3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7）履约验收时间：</w:t>
      </w:r>
    </w:p>
    <w:p>
      <w:pPr>
        <w:spacing w:line="480" w:lineRule="auto"/>
        <w:ind w:firstLine="600" w:firstLineChars="25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□计划于  组织验收</w:t>
      </w:r>
    </w:p>
    <w:p>
      <w:pPr>
        <w:spacing w:line="480" w:lineRule="auto"/>
        <w:ind w:firstLine="600" w:firstLineChars="250"/>
        <w:rPr>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sym w:font="Wingdings" w:char="F0FE"/>
      </w:r>
      <w:r>
        <w:rPr>
          <w:rFonts w:hint="eastAsia"/>
          <w:color w:val="000000" w:themeColor="text1"/>
          <w:sz w:val="24"/>
          <w:szCs w:val="24"/>
          <w14:textFill>
            <w14:solidFill>
              <w14:schemeClr w14:val="tx1"/>
            </w14:solidFill>
          </w14:textFill>
        </w:rPr>
        <w:t>供应商提出验收申请之日起</w:t>
      </w:r>
      <w:r>
        <w:rPr>
          <w:rFonts w:hint="eastAsia"/>
          <w:color w:val="000000" w:themeColor="text1"/>
          <w:sz w:val="24"/>
          <w:szCs w:val="24"/>
          <w:lang w:val="en-US" w:eastAsia="zh-CN"/>
          <w14:textFill>
            <w14:solidFill>
              <w14:schemeClr w14:val="tx1"/>
            </w14:solidFill>
          </w14:textFill>
        </w:rPr>
        <w:t>10</w:t>
      </w:r>
      <w:r>
        <w:rPr>
          <w:rFonts w:hint="eastAsia"/>
          <w:color w:val="000000" w:themeColor="text1"/>
          <w:sz w:val="24"/>
          <w:szCs w:val="24"/>
          <w14:textFill>
            <w14:solidFill>
              <w14:schemeClr w14:val="tx1"/>
            </w14:solidFill>
          </w14:textFill>
        </w:rPr>
        <w:t>日内组织验收</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8</w:t>
      </w:r>
      <w:r>
        <w:rPr>
          <w:rFonts w:hint="eastAsia" w:ascii="宋体" w:hAnsi="宋体" w:eastAsia="宋体" w:cs="宋体"/>
          <w:color w:val="000000" w:themeColor="text1"/>
          <w:kern w:val="0"/>
          <w:sz w:val="24"/>
          <w:szCs w:val="24"/>
          <w14:textFill>
            <w14:solidFill>
              <w14:schemeClr w14:val="tx1"/>
            </w14:solidFill>
          </w14:textFill>
        </w:rPr>
        <w:t>）验收组织的其他事项：</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9</w:t>
      </w:r>
      <w:r>
        <w:rPr>
          <w:rFonts w:hint="eastAsia" w:ascii="宋体" w:hAnsi="宋体" w:eastAsia="宋体" w:cs="宋体"/>
          <w:color w:val="000000" w:themeColor="text1"/>
          <w:kern w:val="0"/>
          <w:sz w:val="24"/>
          <w:szCs w:val="24"/>
          <w14:textFill>
            <w14:solidFill>
              <w14:schemeClr w14:val="tx1"/>
            </w14:solidFill>
          </w14:textFill>
        </w:rPr>
        <w:t>）技术履约验收内容：</w:t>
      </w:r>
    </w:p>
    <w:p>
      <w:pPr>
        <w:spacing w:line="560" w:lineRule="exact"/>
        <w:ind w:firstLine="480" w:firstLineChars="20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 xml:space="preserve">  （1）</w:t>
      </w:r>
      <w:r>
        <w:rPr>
          <w:rFonts w:ascii="Times New Roman" w:hAnsi="Times New Roman" w:cs="Times New Roman"/>
          <w:color w:val="000000" w:themeColor="text1"/>
          <w:sz w:val="24"/>
          <w14:textFill>
            <w14:solidFill>
              <w14:schemeClr w14:val="tx1"/>
            </w14:solidFill>
          </w14:textFill>
        </w:rPr>
        <w:t>供货方应保证提供的配置与技术指标相适应。</w:t>
      </w:r>
      <w:r>
        <w:rPr>
          <w:rFonts w:hint="eastAsia" w:ascii="Times New Roman" w:hAnsi="Times New Roman" w:cs="Times New Roman"/>
          <w:color w:val="000000" w:themeColor="text1"/>
          <w:sz w:val="24"/>
          <w14:textFill>
            <w14:solidFill>
              <w14:schemeClr w14:val="tx1"/>
            </w14:solidFill>
          </w14:textFill>
        </w:rPr>
        <w:t>中标后合同签订前买方有权要求供应商提供相关的设备彩页资料或设备进行功能技术比对。</w:t>
      </w:r>
    </w:p>
    <w:p>
      <w:pPr>
        <w:spacing w:line="560" w:lineRule="exact"/>
        <w:ind w:firstLine="480" w:firstLineChars="200"/>
        <w:rPr>
          <w:rFonts w:ascii="宋体" w:hAnsi="宋体" w:eastAsia="宋体" w:cs="宋体"/>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 xml:space="preserve">  （2）</w:t>
      </w:r>
      <w:r>
        <w:rPr>
          <w:rFonts w:ascii="Times New Roman" w:hAnsi="Times New Roman" w:cs="Times New Roman"/>
          <w:color w:val="000000" w:themeColor="text1"/>
          <w:sz w:val="24"/>
          <w14:textFill>
            <w14:solidFill>
              <w14:schemeClr w14:val="tx1"/>
            </w14:solidFill>
          </w14:textFill>
        </w:rPr>
        <w:t>在投标时，供货商对技术指标应提供验收方法和验收条件说明；需用特殊设备和条件才能验收的主要指标加以说明。</w:t>
      </w:r>
    </w:p>
    <w:p>
      <w:pPr>
        <w:widowControl/>
        <w:shd w:val="clear" w:color="auto" w:fill="FFFFFF"/>
        <w:spacing w:line="480" w:lineRule="auto"/>
        <w:ind w:firstLine="840"/>
        <w:rPr>
          <w:rFonts w:ascii="宋体" w:hAnsi="宋体" w:eastAsia="宋体" w:cs="宋体"/>
          <w:color w:val="000000" w:themeColor="text1"/>
          <w:kern w:val="0"/>
          <w:sz w:val="24"/>
          <w:szCs w:val="24"/>
          <w:shd w:val="clear" w:color="auto" w:fill="FFFF00"/>
          <w14:textFill>
            <w14:solidFill>
              <w14:schemeClr w14:val="tx1"/>
            </w14:solidFill>
          </w14:textFill>
        </w:rPr>
      </w:pPr>
      <w:r>
        <w:rPr>
          <w:rFonts w:ascii="宋体" w:hAnsi="宋体" w:eastAsia="宋体" w:cs="宋体"/>
          <w:color w:val="000000" w:themeColor="text1"/>
          <w:kern w:val="0"/>
          <w:sz w:val="24"/>
          <w:szCs w:val="24"/>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）商务履约验收内容：</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乙方应将所提供</w:t>
      </w:r>
      <w:r>
        <w:rPr>
          <w:rFonts w:hint="eastAsia" w:ascii="Times New Roman" w:hAnsi="Times New Roman" w:cs="Times New Roman"/>
          <w:color w:val="000000" w:themeColor="text1"/>
          <w:sz w:val="24"/>
          <w:lang w:eastAsia="zh-CN"/>
          <w14:textFill>
            <w14:solidFill>
              <w14:schemeClr w14:val="tx1"/>
            </w14:solidFill>
          </w14:textFill>
        </w:rPr>
        <w:t>车辆</w:t>
      </w:r>
      <w:r>
        <w:rPr>
          <w:rFonts w:hint="eastAsia" w:ascii="Times New Roman" w:hAnsi="Times New Roman" w:cs="Times New Roman"/>
          <w:color w:val="000000" w:themeColor="text1"/>
          <w:sz w:val="24"/>
          <w14:textFill>
            <w14:solidFill>
              <w14:schemeClr w14:val="tx1"/>
            </w14:solidFill>
          </w14:textFill>
        </w:rPr>
        <w:t>的清单、配件、随机工具、用户使用手册、原厂保修卡等资料交付给甲方；乙方不能完整交付</w:t>
      </w:r>
      <w:r>
        <w:rPr>
          <w:rFonts w:hint="eastAsia" w:ascii="Times New Roman" w:hAnsi="Times New Roman" w:cs="Times New Roman"/>
          <w:color w:val="000000" w:themeColor="text1"/>
          <w:sz w:val="24"/>
          <w:lang w:eastAsia="zh-CN"/>
          <w14:textFill>
            <w14:solidFill>
              <w14:schemeClr w14:val="tx1"/>
            </w14:solidFill>
          </w14:textFill>
        </w:rPr>
        <w:t>车辆</w:t>
      </w:r>
      <w:r>
        <w:rPr>
          <w:rFonts w:hint="eastAsia" w:ascii="Times New Roman" w:hAnsi="Times New Roman" w:cs="Times New Roman"/>
          <w:color w:val="000000" w:themeColor="text1"/>
          <w:sz w:val="24"/>
          <w14:textFill>
            <w14:solidFill>
              <w14:schemeClr w14:val="tx1"/>
            </w14:solidFill>
          </w14:textFill>
        </w:rPr>
        <w:t>及本款规定的单证和工具的，必须负责补齐，否则视为未按合同约定交货。</w:t>
      </w:r>
    </w:p>
    <w:p>
      <w:pPr>
        <w:widowControl/>
        <w:shd w:val="clear" w:color="auto" w:fill="FFFFFF"/>
        <w:spacing w:line="480" w:lineRule="auto"/>
        <w:ind w:firstLine="840"/>
        <w:rPr>
          <w:rFonts w:ascii="宋体" w:hAnsi="宋体" w:eastAsia="宋体" w:cs="宋体"/>
          <w:color w:val="000000" w:themeColor="text1"/>
          <w:kern w:val="0"/>
          <w:sz w:val="24"/>
          <w:szCs w:val="24"/>
          <w:shd w:val="clear" w:color="auto" w:fill="FFFF00"/>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）履约验收标准：</w:t>
      </w:r>
    </w:p>
    <w:p>
      <w:pPr>
        <w:widowControl/>
        <w:shd w:val="clear" w:color="auto" w:fill="FFFFFF"/>
        <w:spacing w:line="480" w:lineRule="auto"/>
        <w:ind w:firstLine="84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按国家有关规定以及甲方招标文件的质量要求和技术指标、乙方的投标文件及承诺与本合同约定标准进行验收</w:t>
      </w:r>
      <w:r>
        <w:rPr>
          <w:rFonts w:hint="eastAsia" w:ascii="宋体" w:hAnsi="宋体" w:eastAsia="宋体" w:cs="宋体"/>
          <w:color w:val="000000" w:themeColor="text1"/>
          <w:sz w:val="24"/>
          <w:szCs w:val="24"/>
          <w:lang w:eastAsia="zh-CN"/>
          <w14:textFill>
            <w14:solidFill>
              <w14:schemeClr w14:val="tx1"/>
            </w14:solidFill>
          </w14:textFill>
        </w:rPr>
        <w:t>。</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）履约验收其他事项：</w:t>
      </w:r>
    </w:p>
    <w:p>
      <w:pPr>
        <w:widowControl/>
        <w:shd w:val="clear" w:color="auto" w:fill="FFFFFF"/>
        <w:spacing w:line="480" w:lineRule="auto"/>
        <w:outlineLvl w:val="2"/>
        <w:rPr>
          <w:rFonts w:ascii="宋体" w:hAnsi="宋体" w:eastAsia="宋体" w:cs="宋体"/>
          <w:b/>
          <w:bCs/>
          <w:color w:val="000000" w:themeColor="text1"/>
          <w:kern w:val="0"/>
          <w:sz w:val="27"/>
          <w:szCs w:val="27"/>
          <w14:textFill>
            <w14:solidFill>
              <w14:schemeClr w14:val="tx1"/>
            </w14:solidFill>
          </w14:textFill>
        </w:rPr>
      </w:pPr>
      <w:r>
        <w:rPr>
          <w:rFonts w:hint="eastAsia" w:ascii="宋体" w:hAnsi="宋体" w:eastAsia="宋体" w:cs="宋体"/>
          <w:b/>
          <w:bCs/>
          <w:color w:val="000000" w:themeColor="text1"/>
          <w:kern w:val="0"/>
          <w:sz w:val="27"/>
          <w:szCs w:val="27"/>
          <w14:textFill>
            <w14:solidFill>
              <w14:schemeClr w14:val="tx1"/>
            </w14:solidFill>
          </w14:textFill>
        </w:rPr>
        <w:t>五、风险控制措施和替代方案</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该采购项目按照《政府采购需求管理办法》第二十五条规定，本项目是否需要组织风险判断、提出处置措施和替代方案：是□（填以下</w:t>
      </w:r>
      <w:r>
        <w:rPr>
          <w:rFonts w:ascii="宋体" w:hAnsi="宋体" w:eastAsia="宋体" w:cs="宋体"/>
          <w:color w:val="000000" w:themeColor="text1"/>
          <w:kern w:val="0"/>
          <w:sz w:val="24"/>
          <w:szCs w:val="24"/>
          <w14:textFill>
            <w14:solidFill>
              <w14:schemeClr w14:val="tx1"/>
            </w14:solidFill>
          </w14:textFill>
        </w:rPr>
        <w:t>信息</w:t>
      </w:r>
      <w:r>
        <w:rPr>
          <w:rFonts w:hint="eastAsia" w:ascii="宋体" w:hAnsi="宋体" w:eastAsia="宋体" w:cs="宋体"/>
          <w:color w:val="000000" w:themeColor="text1"/>
          <w:kern w:val="0"/>
          <w:sz w:val="24"/>
          <w:szCs w:val="24"/>
          <w14:textFill>
            <w14:solidFill>
              <w14:schemeClr w14:val="tx1"/>
            </w14:solidFill>
          </w14:textFill>
        </w:rPr>
        <w:t>）否</w:t>
      </w:r>
      <w:r>
        <w:rPr>
          <w:rFonts w:hint="eastAsia" w:ascii="宋体" w:hAnsi="宋体" w:eastAsia="宋体" w:cs="宋体"/>
          <w:color w:val="000000" w:themeColor="text1"/>
          <w:kern w:val="0"/>
          <w:sz w:val="24"/>
          <w:szCs w:val="24"/>
          <w14:textFill>
            <w14:solidFill>
              <w14:schemeClr w14:val="tx1"/>
            </w14:solidFill>
          </w14:textFill>
        </w:rPr>
        <w:sym w:font="Wingdings" w:char="F0FE"/>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1）国家政策变化风险的应对措施：</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2）实施环境变化风险的应对措施：</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3）重大技术变化风险的应对措施：</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4）预算项目调整风险的应对措施：</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5）因质疑投诉影响采购进度风险的应对措施：</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6）采购失败风险的应对措施：</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7）不按规定签订或者履行合同风险的应对措施：</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8）出现损害国家利益和社会公共利益情形风险的应对措施：</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9）其他采购和合同履行过程的风险及应对措施：</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p>
    <w:p>
      <w:pPr>
        <w:widowControl/>
        <w:shd w:val="clear" w:color="auto" w:fill="FFFFFF"/>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项目负责人（签字）：</w:t>
      </w:r>
    </w:p>
    <w:p>
      <w:pPr>
        <w:widowControl/>
        <w:shd w:val="clear" w:color="auto" w:fill="FFFFFF"/>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项目单位负责人（签字）：</w:t>
      </w:r>
    </w:p>
    <w:p>
      <w:pPr>
        <w:widowControl/>
        <w:shd w:val="clear" w:color="auto" w:fill="FFFFFF"/>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经费主管部门负责人（签字）：　　　　　　　　　　　</w:t>
      </w:r>
    </w:p>
    <w:p>
      <w:pPr>
        <w:widowControl/>
        <w:shd w:val="clear" w:color="auto" w:fill="FFFFFF"/>
        <w:spacing w:line="480" w:lineRule="auto"/>
        <w:ind w:firstLine="840"/>
        <w:rPr>
          <w:rFonts w:ascii="宋体" w:hAnsi="宋体" w:eastAsia="宋体" w:cs="宋体"/>
          <w:color w:val="000000" w:themeColor="text1"/>
          <w:kern w:val="0"/>
          <w:sz w:val="24"/>
          <w:szCs w:val="24"/>
          <w14:textFill>
            <w14:solidFill>
              <w14:schemeClr w14:val="tx1"/>
            </w14:solidFill>
          </w14:textFill>
        </w:rPr>
      </w:pPr>
    </w:p>
    <w:p>
      <w:pPr>
        <w:widowControl/>
        <w:shd w:val="clear" w:color="auto" w:fill="FFFFFF"/>
        <w:spacing w:line="480" w:lineRule="auto"/>
        <w:ind w:firstLine="6000" w:firstLineChars="25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年  月  日</w:t>
      </w:r>
    </w:p>
    <w:p>
      <w:pPr>
        <w:rPr>
          <w:color w:val="000000" w:themeColor="text1"/>
          <w14:textFill>
            <w14:solidFill>
              <w14:schemeClr w14:val="tx1"/>
            </w14:solidFill>
          </w14:textFill>
        </w:rPr>
      </w:pPr>
    </w:p>
    <w:p>
      <w:pP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注意事项</w:t>
      </w:r>
      <w:r>
        <w:rPr>
          <w:color w:val="000000" w:themeColor="text1"/>
          <w:sz w:val="28"/>
          <w14:textFill>
            <w14:solidFill>
              <w14:schemeClr w14:val="tx1"/>
            </w14:solidFill>
          </w14:textFill>
        </w:rPr>
        <w:t>：</w:t>
      </w:r>
    </w:p>
    <w:p>
      <w:pP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1.采购项目预算大于50万元（含50万元）需提供采购单位确定需求的部（处）会议纪要或学院党政联席会议纪要。</w:t>
      </w:r>
    </w:p>
    <w:p>
      <w:pP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2.各单位政府采购</w:t>
      </w:r>
      <w:r>
        <w:rPr>
          <w:color w:val="000000" w:themeColor="text1"/>
          <w:sz w:val="28"/>
          <w14:textFill>
            <w14:solidFill>
              <w14:schemeClr w14:val="tx1"/>
            </w14:solidFill>
          </w14:textFill>
        </w:rPr>
        <w:t>项目</w:t>
      </w:r>
      <w:r>
        <w:rPr>
          <w:rFonts w:hint="eastAsia"/>
          <w:color w:val="000000" w:themeColor="text1"/>
          <w:sz w:val="28"/>
          <w14:textFill>
            <w14:solidFill>
              <w14:schemeClr w14:val="tx1"/>
            </w14:solidFill>
          </w14:textFill>
        </w:rPr>
        <w:t>的采购</w:t>
      </w:r>
      <w:r>
        <w:rPr>
          <w:color w:val="000000" w:themeColor="text1"/>
          <w:sz w:val="28"/>
          <w14:textFill>
            <w14:solidFill>
              <w14:schemeClr w14:val="tx1"/>
            </w14:solidFill>
          </w14:textFill>
        </w:rPr>
        <w:t>需求</w:t>
      </w:r>
      <w:r>
        <w:rPr>
          <w:rFonts w:hint="eastAsia"/>
          <w:color w:val="000000" w:themeColor="text1"/>
          <w:sz w:val="28"/>
          <w14:textFill>
            <w14:solidFill>
              <w14:schemeClr w14:val="tx1"/>
            </w14:solidFill>
          </w14:textFill>
        </w:rPr>
        <w:t>在部门（学院）</w:t>
      </w:r>
      <w:r>
        <w:rPr>
          <w:color w:val="000000" w:themeColor="text1"/>
          <w:sz w:val="28"/>
          <w14:textFill>
            <w14:solidFill>
              <w14:schemeClr w14:val="tx1"/>
            </w14:solidFill>
          </w14:textFill>
        </w:rPr>
        <w:t>网站</w:t>
      </w:r>
      <w:r>
        <w:rPr>
          <w:rFonts w:hint="eastAsia"/>
          <w:color w:val="000000" w:themeColor="text1"/>
          <w:sz w:val="28"/>
          <w14:textFill>
            <w14:solidFill>
              <w14:schemeClr w14:val="tx1"/>
            </w14:solidFill>
          </w14:textFill>
        </w:rPr>
        <w:t>首页公示不少于3天。公示</w:t>
      </w:r>
      <w:r>
        <w:rPr>
          <w:color w:val="000000" w:themeColor="text1"/>
          <w:sz w:val="28"/>
          <w14:textFill>
            <w14:solidFill>
              <w14:schemeClr w14:val="tx1"/>
            </w14:solidFill>
          </w14:textFill>
        </w:rPr>
        <w:t>期结束后</w:t>
      </w:r>
      <w:r>
        <w:rPr>
          <w:rFonts w:hint="eastAsia"/>
          <w:color w:val="000000" w:themeColor="text1"/>
          <w:sz w:val="28"/>
          <w14:textFill>
            <w14:solidFill>
              <w14:schemeClr w14:val="tx1"/>
            </w14:solidFill>
          </w14:textFill>
        </w:rPr>
        <w:t>将</w:t>
      </w:r>
      <w:r>
        <w:rPr>
          <w:color w:val="000000" w:themeColor="text1"/>
          <w:sz w:val="28"/>
          <w14:textFill>
            <w14:solidFill>
              <w14:schemeClr w14:val="tx1"/>
            </w14:solidFill>
          </w14:textFill>
        </w:rPr>
        <w:t>公</w:t>
      </w:r>
      <w:r>
        <w:rPr>
          <w:rFonts w:hint="eastAsia"/>
          <w:color w:val="000000" w:themeColor="text1"/>
          <w:sz w:val="28"/>
          <w14:textFill>
            <w14:solidFill>
              <w14:schemeClr w14:val="tx1"/>
            </w14:solidFill>
          </w14:textFill>
        </w:rPr>
        <w:t>示</w:t>
      </w:r>
      <w:r>
        <w:rPr>
          <w:color w:val="000000" w:themeColor="text1"/>
          <w:sz w:val="28"/>
          <w14:textFill>
            <w14:solidFill>
              <w14:schemeClr w14:val="tx1"/>
            </w14:solidFill>
          </w14:textFill>
        </w:rPr>
        <w:t>截图</w:t>
      </w:r>
      <w:r>
        <w:rPr>
          <w:rFonts w:hint="eastAsia"/>
          <w:color w:val="000000" w:themeColor="text1"/>
          <w:sz w:val="28"/>
          <w14:textFill>
            <w14:solidFill>
              <w14:schemeClr w14:val="tx1"/>
            </w14:solidFill>
          </w14:textFill>
        </w:rPr>
        <w:t>打印</w:t>
      </w:r>
      <w:r>
        <w:rPr>
          <w:color w:val="000000" w:themeColor="text1"/>
          <w:sz w:val="28"/>
          <w14:textFill>
            <w14:solidFill>
              <w14:schemeClr w14:val="tx1"/>
            </w14:solidFill>
          </w14:textFill>
        </w:rPr>
        <w:t>交国有资产与实验室管理处（</w:t>
      </w:r>
      <w:r>
        <w:rPr>
          <w:rFonts w:hint="eastAsia"/>
          <w:color w:val="000000" w:themeColor="text1"/>
          <w:sz w:val="28"/>
          <w14:textFill>
            <w14:solidFill>
              <w14:schemeClr w14:val="tx1"/>
            </w14:solidFill>
          </w14:textFill>
        </w:rPr>
        <w:t>招投标</w:t>
      </w:r>
      <w:r>
        <w:rPr>
          <w:color w:val="000000" w:themeColor="text1"/>
          <w:sz w:val="28"/>
          <w14:textFill>
            <w14:solidFill>
              <w14:schemeClr w14:val="tx1"/>
            </w14:solidFill>
          </w14:textFill>
        </w:rPr>
        <w:t>中心）</w:t>
      </w:r>
      <w:r>
        <w:rPr>
          <w:rFonts w:hint="eastAsia"/>
          <w:color w:val="000000" w:themeColor="text1"/>
          <w:sz w:val="28"/>
          <w14:textFill>
            <w14:solidFill>
              <w14:schemeClr w14:val="tx1"/>
            </w14:solidFill>
          </w14:textFill>
        </w:rPr>
        <w:t>，</w:t>
      </w:r>
      <w:r>
        <w:rPr>
          <w:color w:val="000000" w:themeColor="text1"/>
          <w:sz w:val="28"/>
          <w14:textFill>
            <w14:solidFill>
              <w14:schemeClr w14:val="tx1"/>
            </w14:solidFill>
          </w14:textFill>
        </w:rPr>
        <w:t>并</w:t>
      </w:r>
      <w:r>
        <w:rPr>
          <w:rFonts w:hint="eastAsia"/>
          <w:color w:val="000000" w:themeColor="text1"/>
          <w:sz w:val="28"/>
          <w14:textFill>
            <w14:solidFill>
              <w14:schemeClr w14:val="tx1"/>
            </w14:solidFill>
          </w14:textFill>
        </w:rPr>
        <w:t>标</w:t>
      </w:r>
      <w:r>
        <w:rPr>
          <w:color w:val="000000" w:themeColor="text1"/>
          <w:sz w:val="28"/>
          <w14:textFill>
            <w14:solidFill>
              <w14:schemeClr w14:val="tx1"/>
            </w14:solidFill>
          </w14:textFill>
        </w:rPr>
        <w:t>明公示期是否有异议</w:t>
      </w:r>
      <w:r>
        <w:rPr>
          <w:rFonts w:hint="eastAsia"/>
          <w:color w:val="000000" w:themeColor="text1"/>
          <w:sz w:val="28"/>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I3MjUyMGU4MDQ2MWNmNDU5OWQ3ODQxYzZmZTczMmMifQ=="/>
  </w:docVars>
  <w:rsids>
    <w:rsidRoot w:val="00AD7054"/>
    <w:rsid w:val="00054266"/>
    <w:rsid w:val="000938E0"/>
    <w:rsid w:val="000E034D"/>
    <w:rsid w:val="000E7EFF"/>
    <w:rsid w:val="00140E76"/>
    <w:rsid w:val="0015358E"/>
    <w:rsid w:val="001E2DD2"/>
    <w:rsid w:val="001F6C43"/>
    <w:rsid w:val="00260D6E"/>
    <w:rsid w:val="002D76ED"/>
    <w:rsid w:val="003170FE"/>
    <w:rsid w:val="003642EA"/>
    <w:rsid w:val="00532111"/>
    <w:rsid w:val="0054342F"/>
    <w:rsid w:val="00571B2F"/>
    <w:rsid w:val="00586E08"/>
    <w:rsid w:val="0059140D"/>
    <w:rsid w:val="005A1722"/>
    <w:rsid w:val="00611B8B"/>
    <w:rsid w:val="00644475"/>
    <w:rsid w:val="006B2DCA"/>
    <w:rsid w:val="006D1DCC"/>
    <w:rsid w:val="0071673B"/>
    <w:rsid w:val="00717634"/>
    <w:rsid w:val="00724B9D"/>
    <w:rsid w:val="00756A9F"/>
    <w:rsid w:val="00785691"/>
    <w:rsid w:val="00806316"/>
    <w:rsid w:val="00807DCC"/>
    <w:rsid w:val="00832211"/>
    <w:rsid w:val="00895C79"/>
    <w:rsid w:val="008B50D6"/>
    <w:rsid w:val="008D6D0F"/>
    <w:rsid w:val="008D7645"/>
    <w:rsid w:val="0098453A"/>
    <w:rsid w:val="009A3203"/>
    <w:rsid w:val="009D2DED"/>
    <w:rsid w:val="009F4E08"/>
    <w:rsid w:val="00A47BD2"/>
    <w:rsid w:val="00AB58F8"/>
    <w:rsid w:val="00AC5F10"/>
    <w:rsid w:val="00AD7054"/>
    <w:rsid w:val="00AE16C5"/>
    <w:rsid w:val="00B30909"/>
    <w:rsid w:val="00B54535"/>
    <w:rsid w:val="00B94AC6"/>
    <w:rsid w:val="00C2059D"/>
    <w:rsid w:val="00C50A80"/>
    <w:rsid w:val="00C52311"/>
    <w:rsid w:val="00C6668D"/>
    <w:rsid w:val="00C7364F"/>
    <w:rsid w:val="00CB4611"/>
    <w:rsid w:val="00D61A28"/>
    <w:rsid w:val="00D86307"/>
    <w:rsid w:val="00DD6420"/>
    <w:rsid w:val="00DF4162"/>
    <w:rsid w:val="00E67CEE"/>
    <w:rsid w:val="00E859C7"/>
    <w:rsid w:val="00ED08C3"/>
    <w:rsid w:val="00ED2506"/>
    <w:rsid w:val="00EE099A"/>
    <w:rsid w:val="00EF2BA1"/>
    <w:rsid w:val="00EF5246"/>
    <w:rsid w:val="00F242C6"/>
    <w:rsid w:val="00F4115F"/>
    <w:rsid w:val="00F67A79"/>
    <w:rsid w:val="04DF250D"/>
    <w:rsid w:val="05F6352F"/>
    <w:rsid w:val="090C4E18"/>
    <w:rsid w:val="096133B5"/>
    <w:rsid w:val="0B292D6D"/>
    <w:rsid w:val="130B7EEE"/>
    <w:rsid w:val="157E577E"/>
    <w:rsid w:val="1A657CB6"/>
    <w:rsid w:val="205F10D6"/>
    <w:rsid w:val="20BA35A2"/>
    <w:rsid w:val="22B82069"/>
    <w:rsid w:val="25AF5AD6"/>
    <w:rsid w:val="263E1D96"/>
    <w:rsid w:val="26C2317A"/>
    <w:rsid w:val="2B2362C5"/>
    <w:rsid w:val="2ED0406E"/>
    <w:rsid w:val="39416688"/>
    <w:rsid w:val="39F3567E"/>
    <w:rsid w:val="3AE74C19"/>
    <w:rsid w:val="3F111FD2"/>
    <w:rsid w:val="40494B17"/>
    <w:rsid w:val="44E87F0C"/>
    <w:rsid w:val="46CF7432"/>
    <w:rsid w:val="47DF0FED"/>
    <w:rsid w:val="4E061402"/>
    <w:rsid w:val="53541376"/>
    <w:rsid w:val="558C1A40"/>
    <w:rsid w:val="558F6181"/>
    <w:rsid w:val="5624780D"/>
    <w:rsid w:val="58BC5708"/>
    <w:rsid w:val="58DA3646"/>
    <w:rsid w:val="5BDB56BD"/>
    <w:rsid w:val="5D6F0D72"/>
    <w:rsid w:val="646C0F1A"/>
    <w:rsid w:val="663F505A"/>
    <w:rsid w:val="66F349EB"/>
    <w:rsid w:val="69034A64"/>
    <w:rsid w:val="6CE95D1F"/>
    <w:rsid w:val="6D18512C"/>
    <w:rsid w:val="70723621"/>
    <w:rsid w:val="72056523"/>
    <w:rsid w:val="733D165F"/>
    <w:rsid w:val="739F2FC5"/>
    <w:rsid w:val="799D05BD"/>
    <w:rsid w:val="7C9C5B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F7E32-6E75-4618-9C23-3A21B61A37A7}">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6461</Words>
  <Characters>6782</Characters>
  <Lines>53</Lines>
  <Paragraphs>15</Paragraphs>
  <TotalTime>3</TotalTime>
  <ScaleCrop>false</ScaleCrop>
  <LinksUpToDate>false</LinksUpToDate>
  <CharactersWithSpaces>7027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2022-04-18T08:19:00Z</dcterms:created>
  <dc:creator>张灵峻</dc:creator>
  <cp:lastModifiedBy>陈涛</cp:lastModifiedBy>
  <dcterms:modified xsi:type="dcterms:W3CDTF">2022-05-12T01:45:10Z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C7CFE2662AF045C0B9DCCD1BBBA7759B</vt:lpwstr>
  </property>
</Properties>
</file>