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CA07">
      <w:pPr>
        <w:widowControl/>
        <w:shd w:val="clear" w:color="auto" w:fill="FFFFFF"/>
        <w:spacing w:after="312" w:afterLines="100" w:line="480" w:lineRule="auto"/>
        <w:jc w:val="center"/>
        <w:outlineLvl w:val="0"/>
        <w:rPr>
          <w:rFonts w:ascii="宋体" w:hAnsi="宋体" w:eastAsia="宋体" w:cs="宋体"/>
          <w:b/>
          <w:bCs/>
          <w:color w:val="000000" w:themeColor="text1"/>
          <w:kern w:val="36"/>
          <w:sz w:val="48"/>
          <w:szCs w:val="48"/>
          <w:highlight w:val="none"/>
          <w14:textFill>
            <w14:solidFill>
              <w14:schemeClr w14:val="tx1"/>
            </w14:solidFill>
          </w14:textFill>
        </w:rPr>
      </w:pPr>
      <w:r>
        <w:rPr>
          <w:rFonts w:hint="eastAsia" w:ascii="宋体" w:hAnsi="宋体" w:eastAsia="宋体" w:cs="宋体"/>
          <w:b/>
          <w:bCs/>
          <w:color w:val="000000" w:themeColor="text1"/>
          <w:kern w:val="36"/>
          <w:sz w:val="48"/>
          <w:szCs w:val="48"/>
          <w:highlight w:val="none"/>
          <w14:textFill>
            <w14:solidFill>
              <w14:schemeClr w14:val="tx1"/>
            </w14:solidFill>
          </w14:textFill>
        </w:rPr>
        <w:t>政府采购项目采购需求（服务</w:t>
      </w:r>
      <w:r>
        <w:rPr>
          <w:rFonts w:ascii="宋体" w:hAnsi="宋体" w:eastAsia="宋体" w:cs="宋体"/>
          <w:b/>
          <w:bCs/>
          <w:color w:val="000000" w:themeColor="text1"/>
          <w:kern w:val="36"/>
          <w:sz w:val="48"/>
          <w:szCs w:val="48"/>
          <w:highlight w:val="none"/>
          <w14:textFill>
            <w14:solidFill>
              <w14:schemeClr w14:val="tx1"/>
            </w14:solidFill>
          </w14:textFill>
        </w:rPr>
        <w:t>类</w:t>
      </w:r>
      <w:r>
        <w:rPr>
          <w:rFonts w:hint="eastAsia" w:ascii="宋体" w:hAnsi="宋体" w:eastAsia="宋体" w:cs="宋体"/>
          <w:b/>
          <w:bCs/>
          <w:color w:val="000000" w:themeColor="text1"/>
          <w:kern w:val="36"/>
          <w:sz w:val="48"/>
          <w:szCs w:val="48"/>
          <w:highlight w:val="none"/>
          <w14:textFill>
            <w14:solidFill>
              <w14:schemeClr w14:val="tx1"/>
            </w14:solidFill>
          </w14:textFill>
        </w:rPr>
        <w:t>）</w:t>
      </w:r>
    </w:p>
    <w:p w14:paraId="51824E75">
      <w:pPr>
        <w:widowControl/>
        <w:shd w:val="clear" w:color="auto" w:fill="FFFFFF"/>
        <w:spacing w:line="560" w:lineRule="exact"/>
        <w:outlineLvl w:val="2"/>
        <w:rPr>
          <w:rFonts w:ascii="宋体" w:hAnsi="宋体" w:eastAsia="宋体" w:cs="宋体"/>
          <w:b/>
          <w:bCs/>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27"/>
          <w:szCs w:val="27"/>
          <w:highlight w:val="none"/>
          <w14:textFill>
            <w14:solidFill>
              <w14:schemeClr w14:val="tx1"/>
            </w14:solidFill>
          </w14:textFill>
        </w:rPr>
        <w:t>采购单位（盖章）：后勤服务总公司</w:t>
      </w:r>
    </w:p>
    <w:p w14:paraId="6E48E0B7">
      <w:pPr>
        <w:widowControl/>
        <w:shd w:val="clear" w:color="auto" w:fill="FFFFFF"/>
        <w:spacing w:line="560" w:lineRule="exact"/>
        <w:outlineLvl w:val="2"/>
        <w:rPr>
          <w:rFonts w:ascii="宋体" w:hAnsi="宋体" w:eastAsia="宋体" w:cs="宋体"/>
          <w:b/>
          <w:bCs/>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27"/>
          <w:szCs w:val="27"/>
          <w:highlight w:val="none"/>
          <w14:textFill>
            <w14:solidFill>
              <w14:schemeClr w14:val="tx1"/>
            </w14:solidFill>
          </w14:textFill>
        </w:rPr>
        <w:t>一、项目总体情况</w:t>
      </w:r>
    </w:p>
    <w:p w14:paraId="750CCE68">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（一）项目名称：2</w:t>
      </w:r>
      <w:r>
        <w:rPr>
          <w:rFonts w:ascii="宋体" w:hAnsi="宋体" w:eastAsia="宋体" w:cs="宋体"/>
          <w:color w:val="000000" w:themeColor="text1"/>
          <w:kern w:val="0"/>
          <w:sz w:val="24"/>
          <w:szCs w:val="24"/>
          <w:highlight w:val="none"/>
          <w14:textFill>
            <w14:solidFill>
              <w14:schemeClr w14:val="tx1"/>
            </w14:solidFill>
          </w14:textFill>
        </w:rPr>
        <w:t>025</w:t>
      </w:r>
      <w:r>
        <w:rPr>
          <w:rFonts w:hint="eastAsia" w:ascii="宋体" w:hAnsi="宋体" w:eastAsia="宋体" w:cs="宋体"/>
          <w:color w:val="000000" w:themeColor="text1"/>
          <w:kern w:val="0"/>
          <w:sz w:val="24"/>
          <w:szCs w:val="24"/>
          <w:highlight w:val="none"/>
          <w14:textFill>
            <w14:solidFill>
              <w14:schemeClr w14:val="tx1"/>
            </w14:solidFill>
          </w14:textFill>
        </w:rPr>
        <w:t>年西华大学郫都校区物业管理服务采购项目</w:t>
      </w:r>
    </w:p>
    <w:p w14:paraId="49BAF53A">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（二）项目所属年度：202</w:t>
      </w:r>
      <w:r>
        <w:rPr>
          <w:rFonts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年度</w:t>
      </w:r>
    </w:p>
    <w:p w14:paraId="3C5EC34C">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（三）项目所属分类：</w:t>
      </w:r>
      <w:r>
        <w:rPr>
          <w:rFonts w:hint="eastAsia" w:ascii="宋体" w:hAnsi="宋体" w:eastAsia="宋体" w:cs="宋体"/>
          <w:b/>
          <w:color w:val="000000" w:themeColor="text1"/>
          <w:kern w:val="0"/>
          <w:sz w:val="24"/>
          <w:szCs w:val="24"/>
          <w:highlight w:val="none"/>
          <w14:textFill>
            <w14:solidFill>
              <w14:schemeClr w14:val="tx1"/>
            </w14:solidFill>
          </w14:textFill>
        </w:rPr>
        <w:t>服务</w:t>
      </w:r>
    </w:p>
    <w:p w14:paraId="04AC32C8">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（四）预算金额（元）：</w:t>
      </w:r>
      <w:r>
        <w:rPr>
          <w:rFonts w:ascii="宋体" w:hAnsi="宋体" w:eastAsia="宋体" w:cs="宋体"/>
          <w:color w:val="000000" w:themeColor="text1"/>
          <w:kern w:val="0"/>
          <w:sz w:val="24"/>
          <w:szCs w:val="24"/>
          <w:highlight w:val="none"/>
          <w14:textFill>
            <w14:solidFill>
              <w14:schemeClr w14:val="tx1"/>
            </w14:solidFill>
          </w14:textFill>
        </w:rPr>
        <w:t>515</w:t>
      </w:r>
      <w:r>
        <w:rPr>
          <w:rFonts w:hint="eastAsia" w:ascii="宋体" w:hAnsi="宋体" w:eastAsia="宋体" w:cs="宋体"/>
          <w:color w:val="000000" w:themeColor="text1"/>
          <w:kern w:val="0"/>
          <w:sz w:val="24"/>
          <w:szCs w:val="24"/>
          <w:highlight w:val="none"/>
          <w14:textFill>
            <w14:solidFill>
              <w14:schemeClr w14:val="tx1"/>
            </w14:solidFill>
          </w14:textFill>
        </w:rPr>
        <w:t>万元，大写（人民币）：伍佰壹拾伍万元整</w:t>
      </w:r>
    </w:p>
    <w:p w14:paraId="3F304D6B">
      <w:pPr>
        <w:widowControl/>
        <w:shd w:val="clear" w:color="auto" w:fill="FFFFFF"/>
        <w:spacing w:line="560" w:lineRule="exact"/>
        <w:ind w:firstLine="1200" w:firstLineChars="5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最高限价（元）：</w:t>
      </w:r>
      <w:r>
        <w:rPr>
          <w:rFonts w:ascii="宋体" w:hAnsi="宋体" w:eastAsia="宋体" w:cs="宋体"/>
          <w:color w:val="000000" w:themeColor="text1"/>
          <w:kern w:val="0"/>
          <w:sz w:val="24"/>
          <w:szCs w:val="24"/>
          <w:highlight w:val="none"/>
          <w14:textFill>
            <w14:solidFill>
              <w14:schemeClr w14:val="tx1"/>
            </w14:solidFill>
          </w14:textFill>
        </w:rPr>
        <w:t>515</w:t>
      </w:r>
      <w:r>
        <w:rPr>
          <w:rFonts w:hint="eastAsia" w:ascii="宋体" w:hAnsi="宋体" w:eastAsia="宋体" w:cs="宋体"/>
          <w:color w:val="000000" w:themeColor="text1"/>
          <w:kern w:val="0"/>
          <w:sz w:val="24"/>
          <w:szCs w:val="24"/>
          <w:highlight w:val="none"/>
          <w14:textFill>
            <w14:solidFill>
              <w14:schemeClr w14:val="tx1"/>
            </w14:solidFill>
          </w14:textFill>
        </w:rPr>
        <w:t>万元，大写（人民币）：伍佰壹拾伍万元整</w:t>
      </w:r>
    </w:p>
    <w:p w14:paraId="7273827D">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（五）项目概况：</w:t>
      </w:r>
    </w:p>
    <w:p w14:paraId="2D2CFE31">
      <w:pPr>
        <w:widowControl/>
        <w:shd w:val="clear" w:color="auto" w:fill="FFFFFF"/>
        <w:spacing w:line="56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1、项目地点：西华大学郫都校区。</w:t>
      </w:r>
    </w:p>
    <w:p w14:paraId="362A2AC0">
      <w:pPr>
        <w:spacing w:line="560" w:lineRule="exact"/>
        <w:ind w:firstLine="480" w:firstLineChars="200"/>
        <w:textAlignment w:val="baseline"/>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2、物业基本情况：西华大学郫都校区第一、第二、第三办公楼及第五、六教学楼</w:t>
      </w:r>
      <w:r>
        <w:rPr>
          <w:rFonts w:hint="eastAsia" w:ascii="宋体" w:hAnsi="宋体" w:eastAsia="宋体" w:cs="宋体"/>
          <w:sz w:val="24"/>
          <w:highlight w:val="none"/>
        </w:rPr>
        <w:t>环境卫生、秩序维护、客服接待（会议服务）、多媒体教室管理、绿化养护、水电保障、设施设备管理、维修服务</w:t>
      </w:r>
      <w:r>
        <w:rPr>
          <w:rFonts w:hint="eastAsia" w:ascii="宋体" w:hAnsi="宋体" w:eastAsia="宋体" w:cs="宋体"/>
          <w:color w:val="000000" w:themeColor="text1"/>
          <w:kern w:val="0"/>
          <w:sz w:val="24"/>
          <w:szCs w:val="24"/>
          <w:highlight w:val="none"/>
          <w14:textFill>
            <w14:solidFill>
              <w14:schemeClr w14:val="tx1"/>
            </w14:solidFill>
          </w14:textFill>
        </w:rPr>
        <w:t>等物业管理服务。西华大学郫都校区第一办公楼建筑面积为9320 m²；第二办公楼建筑面积为1118m²；第三办公楼建筑面积为463 m²；第五教学楼建筑面积为4.33万m²；第六教学楼建筑面积为6.27万m²。总建筑面积约 11.7万m²，绿化面积约2万m²。</w:t>
      </w:r>
    </w:p>
    <w:p w14:paraId="4482FA4D">
      <w:pPr>
        <w:widowControl/>
        <w:shd w:val="clear" w:color="auto" w:fill="FFFFFF"/>
        <w:spacing w:line="560" w:lineRule="exact"/>
        <w:ind w:firstLine="420"/>
        <w:rPr>
          <w:rFonts w:ascii="宋体" w:hAnsi="宋体" w:eastAsia="宋体" w:cs="宋体"/>
          <w:sz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3、物业服务内容：</w:t>
      </w:r>
      <w:bookmarkStart w:id="0" w:name="OLE_LINK4"/>
      <w:bookmarkStart w:id="1" w:name="OLE_LINK3"/>
      <w:r>
        <w:rPr>
          <w:rFonts w:hint="eastAsia" w:ascii="宋体" w:hAnsi="宋体" w:eastAsia="宋体" w:cs="宋体"/>
          <w:sz w:val="24"/>
          <w:highlight w:val="none"/>
        </w:rPr>
        <w:t>环境卫生、秩序维护、客服接待（会议服务）、多媒体教室管理、绿化养护、水电保障、设施设备管理、维修服务等。</w:t>
      </w:r>
      <w:bookmarkEnd w:id="0"/>
      <w:bookmarkEnd w:id="1"/>
    </w:p>
    <w:p w14:paraId="00D25BEB">
      <w:pPr>
        <w:pStyle w:val="8"/>
        <w:spacing w:after="0" w:line="560" w:lineRule="exact"/>
        <w:rPr>
          <w:highlight w:val="none"/>
        </w:rPr>
      </w:pPr>
      <w:r>
        <w:rPr>
          <w:rFonts w:hint="eastAsia"/>
          <w:highlight w:val="none"/>
        </w:rPr>
        <w:t xml:space="preserve"> </w:t>
      </w:r>
      <w:r>
        <w:rPr>
          <w:rFonts w:ascii="宋体" w:hAnsi="宋体" w:eastAsia="宋体" w:cs="宋体"/>
          <w:color w:val="000000" w:themeColor="text1"/>
          <w:kern w:val="0"/>
          <w:sz w:val="24"/>
          <w:szCs w:val="24"/>
          <w:highlight w:val="none"/>
          <w14:textFill>
            <w14:solidFill>
              <w14:schemeClr w14:val="tx1"/>
            </w14:solidFill>
          </w14:textFill>
        </w:rPr>
        <w:t xml:space="preserve">   4</w:t>
      </w:r>
      <w:r>
        <w:rPr>
          <w:rFonts w:hint="eastAsia" w:ascii="宋体" w:hAnsi="宋体" w:eastAsia="宋体" w:cs="宋体"/>
          <w:color w:val="000000" w:themeColor="text1"/>
          <w:kern w:val="0"/>
          <w:sz w:val="24"/>
          <w:szCs w:val="24"/>
          <w:highlight w:val="none"/>
          <w14:textFill>
            <w14:solidFill>
              <w14:schemeClr w14:val="tx1"/>
            </w14:solidFill>
          </w14:textFill>
        </w:rPr>
        <w:t>、物业服务目标：安全生产责任事故次数0；师生满意度不低于92%；有效投诉解决率不低于100%；维修完成及时率等不低于95%，返修率不超过1%；初起火灾处理率为100%。</w:t>
      </w:r>
    </w:p>
    <w:p w14:paraId="7A63A34A">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清洁用具、保洁材料</w:t>
      </w:r>
      <w:r>
        <w:rPr>
          <w:rFonts w:hint="eastAsia" w:ascii="宋体" w:hAnsi="宋体"/>
          <w:color w:val="000000" w:themeColor="text1"/>
          <w:sz w:val="24"/>
          <w:highlight w:val="none"/>
          <w14:textFill>
            <w14:solidFill>
              <w14:schemeClr w14:val="tx1"/>
            </w14:solidFill>
          </w14:textFill>
        </w:rPr>
        <w:t>（包括卫生间内卷纸盒、抽纸盒、皂液盒损坏后的更换以及盒内配置卷纸、抽纸、皂液的补充等）</w:t>
      </w:r>
      <w:r>
        <w:rPr>
          <w:rFonts w:hint="eastAsia" w:ascii="宋体" w:hAnsi="宋体" w:eastAsia="宋体" w:cs="宋体"/>
          <w:color w:val="000000" w:themeColor="text1"/>
          <w:kern w:val="0"/>
          <w:sz w:val="24"/>
          <w:szCs w:val="24"/>
          <w:highlight w:val="none"/>
          <w14:textFill>
            <w14:solidFill>
              <w14:schemeClr w14:val="tx1"/>
            </w14:solidFill>
          </w14:textFill>
        </w:rPr>
        <w:t>、垃圾袋、安全用工具（如警具、对讲机等）、教室所用粉笔、黑板刷、绿化材料和工具全部由中标人提供。</w:t>
      </w:r>
    </w:p>
    <w:p w14:paraId="10A5C11C">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物业服务中标价为物业管理的含税包干经费，该包干经费不随国家、地方法律法规、其他相关政策性调整以及管理教室用途、房屋用途变更而增加。同时，采购人根据对物业服务的考核情况，保留终止合同的权利。</w:t>
      </w:r>
    </w:p>
    <w:p w14:paraId="41471BD9">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（六）本项目是否有为采购项目提供整体设计、规范编制或者项目管理、监理、检测等服务的供应商：□是（填以下信息）</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否</w:t>
      </w:r>
    </w:p>
    <w:p w14:paraId="793C5E62">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供应商名称：</w:t>
      </w:r>
    </w:p>
    <w:p w14:paraId="7E7230F1">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供应商统一社会信用代码：</w:t>
      </w:r>
    </w:p>
    <w:p w14:paraId="77F077A7">
      <w:pPr>
        <w:widowControl/>
        <w:shd w:val="clear" w:color="auto" w:fill="FFFFFF"/>
        <w:spacing w:line="560" w:lineRule="exact"/>
        <w:outlineLvl w:val="2"/>
        <w:rPr>
          <w:rFonts w:ascii="宋体" w:hAnsi="宋体" w:eastAsia="宋体" w:cs="宋体"/>
          <w:b/>
          <w:bCs/>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27"/>
          <w:szCs w:val="27"/>
          <w:highlight w:val="none"/>
          <w14:textFill>
            <w14:solidFill>
              <w14:schemeClr w14:val="tx1"/>
            </w14:solidFill>
          </w14:textFill>
        </w:rPr>
        <w:t>二、项目需求调查情况</w:t>
      </w:r>
    </w:p>
    <w:p w14:paraId="34996CA3">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依据《政府采购需求管理办法》的规定，□本项目需要（填以下信息）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14:textFill>
            <w14:solidFill>
              <w14:schemeClr w14:val="tx1"/>
            </w14:solidFill>
          </w14:textFill>
        </w:rPr>
        <w:t>不需要 需求调查，具体情况如下：</w:t>
      </w:r>
    </w:p>
    <w:p w14:paraId="66A37178">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·本项目属于以下应当展开需求的情形</w:t>
      </w:r>
    </w:p>
    <w:p w14:paraId="68388881">
      <w:pPr>
        <w:widowControl/>
        <w:shd w:val="clear" w:color="auto" w:fill="FFFFFF"/>
        <w:spacing w:line="560" w:lineRule="exact"/>
        <w:ind w:left="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□1000万元以上的货物、服务采购项目，3000万元以上的工程采购项目；</w:t>
      </w:r>
    </w:p>
    <w:p w14:paraId="3F138023">
      <w:pPr>
        <w:widowControl/>
        <w:shd w:val="clear" w:color="auto" w:fill="FFFFFF"/>
        <w:spacing w:line="560" w:lineRule="exact"/>
        <w:ind w:left="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□涉及公共利益、社会关注度较高的采购项目，包括政府向社会公众提供的公共服务项目等；</w:t>
      </w:r>
    </w:p>
    <w:p w14:paraId="53044307">
      <w:pPr>
        <w:widowControl/>
        <w:shd w:val="clear" w:color="auto" w:fill="FFFFFF"/>
        <w:spacing w:line="560" w:lineRule="exact"/>
        <w:ind w:left="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□技术复杂、专业性较强的项目，包括需定制开发的信息化建设项目、采购进口产品的项目等；</w:t>
      </w:r>
    </w:p>
    <w:p w14:paraId="12A9E695">
      <w:pPr>
        <w:widowControl/>
        <w:shd w:val="clear" w:color="auto" w:fill="FFFFFF"/>
        <w:spacing w:line="560" w:lineRule="exact"/>
        <w:ind w:left="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□主管预算单位或者采购人认为需要开展需求调查的其他采购项目。</w:t>
      </w:r>
    </w:p>
    <w:p w14:paraId="5C2EC37A">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·本项目属于以下可以不再重复开展需求调查的情形</w:t>
      </w:r>
    </w:p>
    <w:p w14:paraId="79A35B76">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□编制采购需求前一年内，采购人已就相关采购标的开展过需求调查的可以不再重复开展。</w:t>
      </w:r>
    </w:p>
    <w:p w14:paraId="799E3D33">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□按照法律法规的规定，对采购项目开展可行性研究等前期工作，已包含需求调查内容的，可以不再重复调查</w:t>
      </w:r>
    </w:p>
    <w:p w14:paraId="34D26F5E">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（一）需求调查方式:</w:t>
      </w:r>
    </w:p>
    <w:p w14:paraId="038A6807">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□咨询□论证□调查问卷</w:t>
      </w:r>
    </w:p>
    <w:p w14:paraId="3566DA6F">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（二）需求调查对象:</w:t>
      </w:r>
    </w:p>
    <w:p w14:paraId="7EA65BAB">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p>
    <w:p w14:paraId="46CE9CF9">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（三）需求调查结果</w:t>
      </w:r>
    </w:p>
    <w:p w14:paraId="24E6C42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1.相关产业发展情况:</w:t>
      </w:r>
    </w:p>
    <w:p w14:paraId="02CBF438">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p>
    <w:p w14:paraId="28F10B36">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2.市场供给情况:</w:t>
      </w:r>
    </w:p>
    <w:p w14:paraId="20DB4409">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p>
    <w:p w14:paraId="649DE7E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3.同类采购项目历史成交信息情况:</w:t>
      </w:r>
    </w:p>
    <w:p w14:paraId="13CBBB40">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p>
    <w:p w14:paraId="10E6E62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4.可能涉及的运行维护、升级更新、备品备件、耗材等后续采购情况:</w:t>
      </w:r>
    </w:p>
    <w:p w14:paraId="6F48C3CD">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p>
    <w:p w14:paraId="07D08A2C">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5.其他相关情况:</w:t>
      </w:r>
    </w:p>
    <w:p w14:paraId="2A33298A">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p>
    <w:p w14:paraId="56002B0A">
      <w:pPr>
        <w:widowControl/>
        <w:shd w:val="clear" w:color="auto" w:fill="FFFFFF"/>
        <w:spacing w:line="560" w:lineRule="exact"/>
        <w:outlineLvl w:val="2"/>
        <w:rPr>
          <w:rFonts w:ascii="宋体" w:hAnsi="宋体" w:eastAsia="宋体" w:cs="宋体"/>
          <w:b/>
          <w:bCs/>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27"/>
          <w:szCs w:val="27"/>
          <w:highlight w:val="none"/>
          <w14:textFill>
            <w14:solidFill>
              <w14:schemeClr w14:val="tx1"/>
            </w14:solidFill>
          </w14:textFill>
        </w:rPr>
        <w:t>三、项目采购实施计划</w:t>
      </w:r>
    </w:p>
    <w:p w14:paraId="1DC5A9C4">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（一）采购组织形式：</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 xml:space="preserve">政府集中采购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ascii="宋体" w:hAnsi="宋体" w:eastAsia="宋体" w:cs="宋体"/>
          <w:color w:val="000000" w:themeColor="text1"/>
          <w:kern w:val="0"/>
          <w:sz w:val="24"/>
          <w:szCs w:val="24"/>
          <w:highlight w:val="none"/>
          <w14:textFill>
            <w14:solidFill>
              <w14:schemeClr w14:val="tx1"/>
            </w14:solidFill>
          </w14:textFill>
        </w:rPr>
        <w:t xml:space="preserve">部门集中采购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0"/>
          <w:sz w:val="24"/>
          <w:szCs w:val="24"/>
          <w:highlight w:val="none"/>
          <w14:textFill>
            <w14:solidFill>
              <w14:schemeClr w14:val="tx1"/>
            </w14:solidFill>
          </w14:textFill>
        </w:rPr>
        <w:t>分散采购</w:t>
      </w:r>
    </w:p>
    <w:p w14:paraId="096017EA">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（二）采购方式</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公开招标 □邀请</w:t>
      </w:r>
      <w:r>
        <w:rPr>
          <w:rFonts w:ascii="宋体" w:hAnsi="宋体" w:eastAsia="宋体" w:cs="宋体"/>
          <w:color w:val="000000" w:themeColor="text1"/>
          <w:kern w:val="0"/>
          <w:sz w:val="24"/>
          <w:szCs w:val="24"/>
          <w:highlight w:val="none"/>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 xml:space="preserve"> □竞争性谈判 □询价 □单一来源□竞争性</w:t>
      </w:r>
      <w:r>
        <w:rPr>
          <w:rFonts w:ascii="宋体" w:hAnsi="宋体" w:eastAsia="宋体" w:cs="宋体"/>
          <w:color w:val="000000" w:themeColor="text1"/>
          <w:kern w:val="0"/>
          <w:sz w:val="24"/>
          <w:szCs w:val="24"/>
          <w:highlight w:val="none"/>
          <w14:textFill>
            <w14:solidFill>
              <w14:schemeClr w14:val="tx1"/>
            </w14:solidFill>
          </w14:textFill>
        </w:rPr>
        <w:t>磋商</w:t>
      </w:r>
    </w:p>
    <w:p w14:paraId="53D8F23A">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（三）本项目是否单位自行组织采购：否</w:t>
      </w:r>
    </w:p>
    <w:p w14:paraId="52913F91">
      <w:pPr>
        <w:widowControl/>
        <w:shd w:val="clear" w:color="auto" w:fill="FFFFFF"/>
        <w:tabs>
          <w:tab w:val="left" w:pos="5535"/>
        </w:tabs>
        <w:spacing w:line="560" w:lineRule="exact"/>
        <w:ind w:firstLine="420"/>
        <w:rPr>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（四）采购包划分</w:t>
      </w:r>
      <w:r>
        <w:rPr>
          <w:rFonts w:hint="eastAsia"/>
          <w:color w:val="000000" w:themeColor="text1"/>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不分包采购</w:t>
      </w:r>
      <w:r>
        <w:rPr>
          <w:color w:val="000000" w:themeColor="text1"/>
          <w:sz w:val="24"/>
          <w:highlight w:val="none"/>
          <w14:textFill>
            <w14:solidFill>
              <w14:schemeClr w14:val="tx1"/>
            </w14:solidFill>
          </w14:textFill>
        </w:rPr>
        <w:tab/>
      </w:r>
    </w:p>
    <w:p w14:paraId="1AB6F78D">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名称：</w:t>
      </w: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025</w:t>
      </w:r>
      <w:r>
        <w:rPr>
          <w:rFonts w:hint="eastAsia" w:ascii="宋体" w:hAnsi="宋体" w:eastAsia="宋体" w:cs="宋体"/>
          <w:color w:val="000000" w:themeColor="text1"/>
          <w:kern w:val="0"/>
          <w:sz w:val="24"/>
          <w:szCs w:val="24"/>
          <w:highlight w:val="none"/>
          <w14:textFill>
            <w14:solidFill>
              <w14:schemeClr w14:val="tx1"/>
            </w14:solidFill>
          </w14:textFill>
        </w:rPr>
        <w:t>年西华大学郫都校区物业管理服务采购项目</w:t>
      </w:r>
    </w:p>
    <w:p w14:paraId="022F1A9D">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最高</w:t>
      </w:r>
      <w:r>
        <w:rPr>
          <w:color w:val="000000" w:themeColor="text1"/>
          <w:sz w:val="24"/>
          <w:highlight w:val="none"/>
          <w14:textFill>
            <w14:solidFill>
              <w14:schemeClr w14:val="tx1"/>
            </w14:solidFill>
          </w14:textFill>
        </w:rPr>
        <w:t>限价</w:t>
      </w:r>
      <w:r>
        <w:rPr>
          <w:rFonts w:hint="eastAsia"/>
          <w:color w:val="000000" w:themeColor="text1"/>
          <w:sz w:val="24"/>
          <w:highlight w:val="none"/>
          <w14:textFill>
            <w14:solidFill>
              <w14:schemeClr w14:val="tx1"/>
            </w14:solidFill>
          </w14:textFill>
        </w:rPr>
        <w:t>（元）</w:t>
      </w:r>
      <w:r>
        <w:rPr>
          <w:color w:val="000000" w:themeColor="text1"/>
          <w:sz w:val="24"/>
          <w:highlight w:val="none"/>
          <w14:textFill>
            <w14:solidFill>
              <w14:schemeClr w14:val="tx1"/>
            </w14:solidFill>
          </w14:textFill>
        </w:rPr>
        <w:t>：</w:t>
      </w:r>
      <w:r>
        <w:rPr>
          <w:rFonts w:asciiTheme="minorEastAsia" w:hAnsiTheme="minorEastAsia"/>
          <w:color w:val="000000" w:themeColor="text1"/>
          <w:sz w:val="24"/>
          <w:highlight w:val="none"/>
          <w14:textFill>
            <w14:solidFill>
              <w14:schemeClr w14:val="tx1"/>
            </w14:solidFill>
          </w14:textFill>
        </w:rPr>
        <w:t>515</w:t>
      </w:r>
      <w:r>
        <w:rPr>
          <w:rFonts w:hint="eastAsia"/>
          <w:color w:val="000000" w:themeColor="text1"/>
          <w:sz w:val="24"/>
          <w:highlight w:val="none"/>
          <w14:textFill>
            <w14:solidFill>
              <w14:schemeClr w14:val="tx1"/>
            </w14:solidFill>
          </w14:textFill>
        </w:rPr>
        <w:t>万元</w:t>
      </w:r>
    </w:p>
    <w:p w14:paraId="09B24D19">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定价方式：</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color w:val="000000" w:themeColor="text1"/>
          <w:sz w:val="24"/>
          <w:highlight w:val="none"/>
          <w14:textFill>
            <w14:solidFill>
              <w14:schemeClr w14:val="tx1"/>
            </w14:solidFill>
          </w14:textFill>
        </w:rPr>
        <w:t xml:space="preserve">固定总价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固定单价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color w:val="000000" w:themeColor="text1"/>
          <w:sz w:val="24"/>
          <w:highlight w:val="none"/>
          <w14:textFill>
            <w14:solidFill>
              <w14:schemeClr w14:val="tx1"/>
            </w14:solidFill>
          </w14:textFill>
        </w:rPr>
        <w:t>其他（</w:t>
      </w:r>
      <w:r>
        <w:rPr>
          <w:color w:val="000000" w:themeColor="text1"/>
          <w:sz w:val="24"/>
          <w:highlight w:val="none"/>
          <w14:textFill>
            <w14:solidFill>
              <w14:schemeClr w14:val="tx1"/>
            </w14:solidFill>
          </w14:textFill>
        </w:rPr>
        <w:t>定价方式名称：</w:t>
      </w:r>
      <w:r>
        <w:rPr>
          <w:rFonts w:hint="eastAsia"/>
          <w:color w:val="000000" w:themeColor="text1"/>
          <w:sz w:val="24"/>
          <w:highlight w:val="none"/>
          <w14:textFill>
            <w14:solidFill>
              <w14:schemeClr w14:val="tx1"/>
            </w14:solidFill>
          </w14:textFill>
        </w:rPr>
        <w:t>）</w:t>
      </w:r>
    </w:p>
    <w:p w14:paraId="50CB1607">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品目信息一</w:t>
      </w:r>
    </w:p>
    <w:p w14:paraId="563806F0">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025</w:t>
      </w:r>
      <w:r>
        <w:rPr>
          <w:rFonts w:hint="eastAsia" w:ascii="宋体" w:hAnsi="宋体" w:eastAsia="宋体" w:cs="宋体"/>
          <w:color w:val="000000" w:themeColor="text1"/>
          <w:kern w:val="0"/>
          <w:sz w:val="24"/>
          <w:szCs w:val="24"/>
          <w:highlight w:val="none"/>
          <w14:textFill>
            <w14:solidFill>
              <w14:schemeClr w14:val="tx1"/>
            </w14:solidFill>
          </w14:textFill>
        </w:rPr>
        <w:t xml:space="preserve">年西华大学郫都校区物业管理服务采购项目  </w:t>
      </w:r>
    </w:p>
    <w:p w14:paraId="0F95C43B">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计量单位</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370DD56A">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w:t>
      </w:r>
    </w:p>
    <w:p w14:paraId="21DF21C3">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单价（元）</w:t>
      </w:r>
      <w:r>
        <w:rPr>
          <w:color w:val="000000" w:themeColor="text1"/>
          <w:sz w:val="24"/>
          <w:highlight w:val="none"/>
          <w14:textFill>
            <w14:solidFill>
              <w14:schemeClr w14:val="tx1"/>
            </w14:solidFill>
          </w14:textFill>
        </w:rPr>
        <w:t>：</w:t>
      </w:r>
      <w:r>
        <w:rPr>
          <w:rFonts w:asciiTheme="minorEastAsia" w:hAnsiTheme="minorEastAsia"/>
          <w:color w:val="000000" w:themeColor="text1"/>
          <w:sz w:val="24"/>
          <w:highlight w:val="none"/>
          <w14:textFill>
            <w14:solidFill>
              <w14:schemeClr w14:val="tx1"/>
            </w14:solidFill>
          </w14:textFill>
        </w:rPr>
        <w:t>515</w:t>
      </w:r>
      <w:r>
        <w:rPr>
          <w:rFonts w:hint="eastAsia"/>
          <w:color w:val="000000" w:themeColor="text1"/>
          <w:sz w:val="24"/>
          <w:highlight w:val="none"/>
          <w14:textFill>
            <w14:solidFill>
              <w14:schemeClr w14:val="tx1"/>
            </w14:solidFill>
          </w14:textFill>
        </w:rPr>
        <w:t>万元</w:t>
      </w:r>
    </w:p>
    <w:p w14:paraId="057773DF">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该品目预算(元)：</w:t>
      </w:r>
      <w:r>
        <w:rPr>
          <w:rFonts w:asciiTheme="minorEastAsia" w:hAnsiTheme="minorEastAsia"/>
          <w:color w:val="000000" w:themeColor="text1"/>
          <w:sz w:val="24"/>
          <w:highlight w:val="none"/>
          <w14:textFill>
            <w14:solidFill>
              <w14:schemeClr w14:val="tx1"/>
            </w14:solidFill>
          </w14:textFill>
        </w:rPr>
        <w:t>515</w:t>
      </w:r>
      <w:r>
        <w:rPr>
          <w:rFonts w:hint="eastAsia"/>
          <w:color w:val="000000" w:themeColor="text1"/>
          <w:sz w:val="24"/>
          <w:highlight w:val="none"/>
          <w14:textFill>
            <w14:solidFill>
              <w14:schemeClr w14:val="tx1"/>
            </w14:solidFill>
          </w14:textFill>
        </w:rPr>
        <w:t>万元</w:t>
      </w:r>
    </w:p>
    <w:p w14:paraId="4896E9CF">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所属</w:t>
      </w:r>
      <w:r>
        <w:rPr>
          <w:color w:val="000000" w:themeColor="text1"/>
          <w:sz w:val="24"/>
          <w:highlight w:val="none"/>
          <w14:textFill>
            <w14:solidFill>
              <w14:schemeClr w14:val="tx1"/>
            </w14:solidFill>
          </w14:textFill>
        </w:rPr>
        <w:t>行业：</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color w:val="000000" w:themeColor="text1"/>
          <w:sz w:val="24"/>
          <w:highlight w:val="none"/>
          <w14:textFill>
            <w14:solidFill>
              <w14:schemeClr w14:val="tx1"/>
            </w14:solidFill>
          </w14:textFill>
        </w:rPr>
        <w:t xml:space="preserve">农、林、牧、渔业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color w:val="000000" w:themeColor="text1"/>
          <w:sz w:val="24"/>
          <w:highlight w:val="none"/>
          <w14:textFill>
            <w14:solidFill>
              <w14:schemeClr w14:val="tx1"/>
            </w14:solidFill>
          </w14:textFill>
        </w:rPr>
        <w:t xml:space="preserve">工业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建筑业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批发业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零售业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color w:val="000000" w:themeColor="text1"/>
          <w:sz w:val="24"/>
          <w:highlight w:val="none"/>
          <w14:textFill>
            <w14:solidFill>
              <w14:schemeClr w14:val="tx1"/>
            </w14:solidFill>
          </w14:textFill>
        </w:rPr>
        <w:t xml:space="preserve">交通运输业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color w:val="000000" w:themeColor="text1"/>
          <w:sz w:val="24"/>
          <w:highlight w:val="none"/>
          <w14:textFill>
            <w14:solidFill>
              <w14:schemeClr w14:val="tx1"/>
            </w14:solidFill>
          </w14:textFill>
        </w:rPr>
        <w:t xml:space="preserve">仓储业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邮政业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住宿业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餐饮业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信息传输业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color w:val="000000" w:themeColor="text1"/>
          <w:sz w:val="24"/>
          <w:highlight w:val="none"/>
          <w14:textFill>
            <w14:solidFill>
              <w14:schemeClr w14:val="tx1"/>
            </w14:solidFill>
          </w14:textFill>
        </w:rPr>
        <w:t xml:space="preserve">物业管理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其他未列明行业</w:t>
      </w:r>
    </w:p>
    <w:p w14:paraId="70ADD58F">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节能</w:t>
      </w:r>
      <w:r>
        <w:rPr>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 xml:space="preserve">□是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14:textFill>
            <w14:solidFill>
              <w14:schemeClr w14:val="tx1"/>
            </w14:solidFill>
          </w14:textFill>
        </w:rPr>
        <w:t xml:space="preserve">否  </w:t>
      </w:r>
      <w:r>
        <w:rPr>
          <w:rFonts w:hint="eastAsia"/>
          <w:color w:val="000000" w:themeColor="text1"/>
          <w:sz w:val="24"/>
          <w:highlight w:val="none"/>
          <w14:textFill>
            <w14:solidFill>
              <w14:schemeClr w14:val="tx1"/>
            </w14:solidFill>
          </w14:textFill>
        </w:rPr>
        <w:t>环保</w:t>
      </w:r>
      <w:r>
        <w:rPr>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 xml:space="preserve">□是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否</w:t>
      </w:r>
    </w:p>
    <w:p w14:paraId="7EB2487D">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功能和质量要求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4068C675">
      <w:pPr>
        <w:widowControl/>
        <w:shd w:val="clear" w:color="auto" w:fill="FFFFFF"/>
        <w:spacing w:line="5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w:t>
      </w:r>
      <w:r>
        <w:rPr>
          <w:rFonts w:hint="eastAsia" w:ascii="宋体" w:hAnsi="宋体" w:eastAsia="宋体" w:cs="宋体"/>
          <w:color w:val="000000" w:themeColor="text1"/>
          <w:kern w:val="0"/>
          <w:sz w:val="24"/>
          <w:szCs w:val="24"/>
          <w:highlight w:val="none"/>
          <w14:textFill>
            <w14:solidFill>
              <w14:schemeClr w14:val="tx1"/>
            </w14:solidFill>
          </w14:textFill>
        </w:rPr>
        <w:t>西华大学郫都校区第一、第二、第三办公楼及第五、六教学楼</w:t>
      </w:r>
      <w:r>
        <w:rPr>
          <w:rFonts w:hint="eastAsia" w:ascii="宋体" w:hAnsi="宋体" w:eastAsia="宋体" w:cs="宋体"/>
          <w:sz w:val="24"/>
          <w:highlight w:val="none"/>
        </w:rPr>
        <w:t>环境卫生、秩序维护、客服接待（会议服务）、多媒体教室管理、绿化养护、水电保障、设施设备管理、维修服务</w:t>
      </w:r>
      <w:r>
        <w:rPr>
          <w:rFonts w:hint="eastAsia" w:ascii="宋体" w:hAnsi="宋体" w:eastAsia="宋体" w:cs="宋体"/>
          <w:color w:val="000000" w:themeColor="text1"/>
          <w:kern w:val="0"/>
          <w:sz w:val="24"/>
          <w:szCs w:val="24"/>
          <w:highlight w:val="none"/>
          <w14:textFill>
            <w14:solidFill>
              <w14:schemeClr w14:val="tx1"/>
            </w14:solidFill>
          </w14:textFill>
        </w:rPr>
        <w:t>等物业管理</w:t>
      </w:r>
      <w:r>
        <w:rPr>
          <w:rFonts w:hint="eastAsia"/>
          <w:color w:val="000000" w:themeColor="text1"/>
          <w:sz w:val="24"/>
          <w:highlight w:val="none"/>
          <w14:textFill>
            <w14:solidFill>
              <w14:schemeClr w14:val="tx1"/>
            </w14:solidFill>
          </w14:textFill>
        </w:rPr>
        <w:t>服务，满足广大师生对美好物业管理服务的需求。</w:t>
      </w:r>
    </w:p>
    <w:p w14:paraId="20F29719">
      <w:pPr>
        <w:widowControl/>
        <w:shd w:val="clear" w:color="auto" w:fill="FFFFFF"/>
        <w:spacing w:line="560" w:lineRule="exact"/>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注：如有</w:t>
      </w:r>
      <w:r>
        <w:rPr>
          <w:color w:val="000000" w:themeColor="text1"/>
          <w:sz w:val="24"/>
          <w:highlight w:val="none"/>
          <w14:textFill>
            <w14:solidFill>
              <w14:schemeClr w14:val="tx1"/>
            </w14:solidFill>
          </w14:textFill>
        </w:rPr>
        <w:t>多个</w:t>
      </w:r>
      <w:r>
        <w:rPr>
          <w:rFonts w:hint="eastAsia"/>
          <w:color w:val="000000" w:themeColor="text1"/>
          <w:sz w:val="24"/>
          <w:highlight w:val="none"/>
          <w14:textFill>
            <w14:solidFill>
              <w14:schemeClr w14:val="tx1"/>
            </w14:solidFill>
          </w14:textFill>
        </w:rPr>
        <w:t>标的，各</w:t>
      </w:r>
      <w:r>
        <w:rPr>
          <w:color w:val="000000" w:themeColor="text1"/>
          <w:sz w:val="24"/>
          <w:highlight w:val="none"/>
          <w14:textFill>
            <w14:solidFill>
              <w14:schemeClr w14:val="tx1"/>
            </w14:solidFill>
          </w14:textFill>
        </w:rPr>
        <w:t>标的品目</w:t>
      </w:r>
      <w:r>
        <w:rPr>
          <w:rFonts w:hint="eastAsia"/>
          <w:color w:val="000000" w:themeColor="text1"/>
          <w:sz w:val="24"/>
          <w:highlight w:val="none"/>
          <w14:textFill>
            <w14:solidFill>
              <w14:schemeClr w14:val="tx1"/>
            </w14:solidFill>
          </w14:textFill>
        </w:rPr>
        <w:t>预算相加</w:t>
      </w:r>
      <w:r>
        <w:rPr>
          <w:color w:val="000000" w:themeColor="text1"/>
          <w:sz w:val="24"/>
          <w:highlight w:val="none"/>
          <w14:textFill>
            <w14:solidFill>
              <w14:schemeClr w14:val="tx1"/>
            </w14:solidFill>
          </w14:textFill>
        </w:rPr>
        <w:t>应等于</w:t>
      </w:r>
      <w:r>
        <w:rPr>
          <w:rFonts w:hint="eastAsia"/>
          <w:color w:val="000000" w:themeColor="text1"/>
          <w:sz w:val="24"/>
          <w:highlight w:val="none"/>
          <w14:textFill>
            <w14:solidFill>
              <w14:schemeClr w14:val="tx1"/>
            </w14:solidFill>
          </w14:textFill>
        </w:rPr>
        <w:t>该</w:t>
      </w:r>
      <w:r>
        <w:rPr>
          <w:color w:val="000000" w:themeColor="text1"/>
          <w:sz w:val="24"/>
          <w:highlight w:val="none"/>
          <w14:textFill>
            <w14:solidFill>
              <w14:schemeClr w14:val="tx1"/>
            </w14:solidFill>
          </w14:textFill>
        </w:rPr>
        <w:t>包</w:t>
      </w:r>
      <w:r>
        <w:rPr>
          <w:rFonts w:hint="eastAsia"/>
          <w:color w:val="000000" w:themeColor="text1"/>
          <w:sz w:val="24"/>
          <w:highlight w:val="none"/>
          <w14:textFill>
            <w14:solidFill>
              <w14:schemeClr w14:val="tx1"/>
            </w14:solidFill>
          </w14:textFill>
        </w:rPr>
        <w:t>总预算（最高</w:t>
      </w:r>
      <w:r>
        <w:rPr>
          <w:color w:val="000000" w:themeColor="text1"/>
          <w:sz w:val="24"/>
          <w:highlight w:val="none"/>
          <w14:textFill>
            <w14:solidFill>
              <w14:schemeClr w14:val="tx1"/>
            </w14:solidFill>
          </w14:textFill>
        </w:rPr>
        <w:t>限价</w:t>
      </w:r>
      <w:r>
        <w:rPr>
          <w:rFonts w:hint="eastAsia"/>
          <w:color w:val="000000" w:themeColor="text1"/>
          <w:sz w:val="24"/>
          <w:highlight w:val="none"/>
          <w14:textFill>
            <w14:solidFill>
              <w14:schemeClr w14:val="tx1"/>
            </w14:solidFill>
          </w14:textFill>
        </w:rPr>
        <w:t>）。</w:t>
      </w:r>
    </w:p>
    <w:p w14:paraId="12FBB4E3">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（五）执行政府采购促进中小企业发展的相关政策</w:t>
      </w:r>
    </w:p>
    <w:p w14:paraId="7A57E72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 xml:space="preserve">专门面向中小企业采购  </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ascii="宋体" w:hAnsi="宋体" w:eastAsia="宋体" w:cs="宋体"/>
          <w:color w:val="000000" w:themeColor="text1"/>
          <w:kern w:val="0"/>
          <w:sz w:val="24"/>
          <w:szCs w:val="24"/>
          <w:highlight w:val="none"/>
          <w14:textFill>
            <w14:solidFill>
              <w14:schemeClr w14:val="tx1"/>
            </w14:solidFill>
          </w14:textFill>
        </w:rPr>
        <w:t>不专门面向中小企业采购</w:t>
      </w:r>
    </w:p>
    <w:p w14:paraId="766BC88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面向的企业规模：</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中小企业  □小微企业</w:t>
      </w:r>
    </w:p>
    <w:p w14:paraId="6E8E2788">
      <w:pPr>
        <w:widowControl/>
        <w:shd w:val="clear" w:color="auto" w:fill="FFFFFF"/>
        <w:spacing w:line="560" w:lineRule="exact"/>
        <w:ind w:left="315" w:leftChars="150"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预留形式：</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项目整体预留  □设置专门采购包  □以联合体形式参加  □要求合同分包</w:t>
      </w:r>
    </w:p>
    <w:p w14:paraId="0412276F">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预留比例：100%</w:t>
      </w:r>
    </w:p>
    <w:p w14:paraId="0B739E79">
      <w:pPr>
        <w:widowControl/>
        <w:shd w:val="clear" w:color="auto" w:fill="FFFFFF"/>
        <w:spacing w:line="560" w:lineRule="exact"/>
        <w:ind w:firstLine="840" w:firstLineChars="35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不专门面向的原因：</w:t>
      </w:r>
    </w:p>
    <w:p w14:paraId="3CA4FF84">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□法律法规和国家有关政策明确规定优先或者应当面向事业单位、社会组织等非企业主体采购的</w:t>
      </w:r>
    </w:p>
    <w:p w14:paraId="41D3061D">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□因确需使用不可替代的专利、专有技术，基础设施限制，或者提供特定公共服务等原因，只能从中小企业之外的供应商处采购的</w:t>
      </w:r>
    </w:p>
    <w:p w14:paraId="3C8B3FD6">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□按照本办法规定预留采购份额无法确保充分供应、充分竞争，或者存在可能影响政府采购目标实现的情形</w:t>
      </w:r>
    </w:p>
    <w:p w14:paraId="5BEC2FB5">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□框架协议采购项目</w:t>
      </w:r>
    </w:p>
    <w:p w14:paraId="54D0A633">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□省级以上人民政府财政部门规定的其他情形</w:t>
      </w:r>
    </w:p>
    <w:p w14:paraId="171BC446">
      <w:pPr>
        <w:widowControl/>
        <w:shd w:val="clear" w:color="auto" w:fill="FFFFFF"/>
        <w:spacing w:line="560" w:lineRule="exact"/>
        <w:ind w:firstLine="84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iCs/>
          <w:color w:val="000000" w:themeColor="text1"/>
          <w:kern w:val="0"/>
          <w:sz w:val="24"/>
          <w:szCs w:val="24"/>
          <w:highlight w:val="none"/>
          <w14:textFill>
            <w14:solidFill>
              <w14:schemeClr w14:val="tx1"/>
            </w14:solidFill>
          </w14:textFill>
        </w:rPr>
        <w:t>注：监狱企业和残疾人福利单位视同小微企业。</w:t>
      </w:r>
    </w:p>
    <w:p w14:paraId="500643C1">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（六）是否采购环境标识产品：是</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ascii="宋体" w:hAnsi="宋体" w:eastAsia="宋体" w:cs="宋体"/>
          <w:color w:val="000000" w:themeColor="text1"/>
          <w:kern w:val="0"/>
          <w:sz w:val="24"/>
          <w:szCs w:val="24"/>
          <w:highlight w:val="none"/>
          <w14:textFill>
            <w14:solidFill>
              <w14:schemeClr w14:val="tx1"/>
            </w14:solidFill>
          </w14:textFill>
        </w:rPr>
        <w:t xml:space="preserve">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51CA973B">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（七）是否采购节能产品：是□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385331F9">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（八）项目的采购标的是否包含进口产品：是□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1282F96A">
      <w:pPr>
        <w:spacing w:line="56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（九）采购标的是否属于政府购买服务：是□（填以下信息）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3129A943">
      <w:pPr>
        <w:spacing w:line="560" w:lineRule="exact"/>
        <w:ind w:firstLine="600" w:firstLineChars="25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政府购买服务的分类：□政府履职所需辅助性服务 □政府向社会公众提供的公共服务</w:t>
      </w:r>
    </w:p>
    <w:p w14:paraId="3463E444">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（十）是否属于政务信息系统项目：是□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5943D16B">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（十一）是否属于高校、科研院所的科研仪器设备采购：是□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521D1950">
      <w:pPr>
        <w:widowControl/>
        <w:shd w:val="clear" w:color="auto" w:fill="FFFFFF"/>
        <w:spacing w:line="560" w:lineRule="exact"/>
        <w:ind w:firstLine="42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（十二）是否属于PPP项目：是□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56FBDF03">
      <w:pPr>
        <w:widowControl/>
        <w:shd w:val="clear" w:color="auto" w:fill="FFFFFF"/>
        <w:spacing w:line="480" w:lineRule="auto"/>
        <w:outlineLvl w:val="2"/>
        <w:rPr>
          <w:rFonts w:ascii="宋体" w:hAnsi="宋体" w:eastAsia="宋体" w:cs="宋体"/>
          <w:b/>
          <w:bCs/>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27"/>
          <w:szCs w:val="27"/>
          <w:highlight w:val="none"/>
          <w14:textFill>
            <w14:solidFill>
              <w14:schemeClr w14:val="tx1"/>
            </w14:solidFill>
          </w14:textFill>
        </w:rPr>
        <w:t>四、项目需求及分包情况、采购标的</w:t>
      </w:r>
    </w:p>
    <w:p w14:paraId="6DC1DC9E">
      <w:pPr>
        <w:widowControl/>
        <w:shd w:val="clear" w:color="auto" w:fill="FFFFFF"/>
        <w:spacing w:line="480" w:lineRule="auto"/>
        <w:outlineLvl w:val="4"/>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供应商资格要求</w:t>
      </w:r>
      <w:r>
        <w:rPr>
          <w:rFonts w:ascii="宋体" w:hAnsi="宋体" w:eastAsia="宋体" w:cs="宋体"/>
          <w:b/>
          <w:bCs/>
          <w:color w:val="000000" w:themeColor="text1"/>
          <w:kern w:val="0"/>
          <w:sz w:val="24"/>
          <w:szCs w:val="24"/>
          <w:highlight w:val="none"/>
          <w14:textFill>
            <w14:solidFill>
              <w14:schemeClr w14:val="tx1"/>
            </w14:solidFill>
          </w14:textFill>
        </w:rPr>
        <w:t>：</w:t>
      </w:r>
    </w:p>
    <w:tbl>
      <w:tblPr>
        <w:tblStyle w:val="13"/>
        <w:tblW w:w="10875" w:type="dxa"/>
        <w:jc w:val="center"/>
        <w:shd w:val="clear" w:color="auto" w:fill="FFFFFF"/>
        <w:tblLayout w:type="autofit"/>
        <w:tblCellMar>
          <w:top w:w="0" w:type="dxa"/>
          <w:left w:w="0" w:type="dxa"/>
          <w:bottom w:w="0" w:type="dxa"/>
          <w:right w:w="0" w:type="dxa"/>
        </w:tblCellMar>
      </w:tblPr>
      <w:tblGrid>
        <w:gridCol w:w="505"/>
        <w:gridCol w:w="1719"/>
        <w:gridCol w:w="8651"/>
      </w:tblGrid>
      <w:tr w14:paraId="66CA6C37">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1D7F4B99">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471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07E9EBD1">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1D2A91C7">
            <w:pPr>
              <w:widowControl/>
              <w:spacing w:line="360" w:lineRule="atLeas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资格要求详细说明</w:t>
            </w:r>
          </w:p>
        </w:tc>
      </w:tr>
      <w:tr w14:paraId="765DAFC4">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397347C">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B500615">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中标人应具有独立承担民事责任的能力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FF2CBDB">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营业执照（正本或副本）或法人登记证（正本或副本）或其他能够证明中标人具有独立承担民事责任能力的相关证明材料复印件【注：①营业执照或法人登记证或其他证明材料载明有期限的，应在有效期限内；②在中华人民共和国境内注册。】</w:t>
            </w:r>
          </w:p>
        </w:tc>
      </w:tr>
      <w:tr w14:paraId="51310D53">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6C0BC4">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D995364">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32226F">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1.中标人具有良好的商业信誉的书面声明材料。 2.中标人参加政府采购活动前三年内，在经营活动中没有重大违法记录的书面声明材料； 3.中标人具有健全的财务会计制度的书面声明材料； 4.中标人具有依法缴纳社会保障资金良好记录的书面声明材料； 5.中标人具有依法缴纳税收良好记录的书面声明材料。 【说明：①中标人按招标文件要求提供书面声明材料；②资格审查小组根据“信用中国”和“中国政府采购网”网站的查询结果，在资格审查期间对中标人在参加政府采购活动前三年内，在经营活动中是否有重大违法记录进行审查。供应商需在项目电子化交易系统中按要求填写《投标函》完成承诺并进行电子签章。】</w:t>
            </w:r>
          </w:p>
        </w:tc>
      </w:tr>
      <w:tr w14:paraId="5951999E">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E8619B2">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6003688">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19DE241">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中标人未列入失信被执行人、重大税收违法案件当事人名单、政府采购严重违法失信行为记录名单的书面声明材料。【说明：①中标人未列入失信被执行人、重大税收违法案件当事人名单、政府采购严重违法失信行为记录名单；②中标人提供书面声明材料。】 2.资格审查小组根据“信用中国”和“中国政府采购网”网站的查询结果，在资格审查期间对中标人是否被列入失信被执行人、重大税收违法案件当事人名单、政府采购严重违法失信行为记录名单进行审查。【说明：中标人未列入失信被执行人、重大税收违法案件当事人名单、政府采购严重违法失信行为记录名单。】</w:t>
            </w:r>
          </w:p>
        </w:tc>
      </w:tr>
      <w:tr w14:paraId="2686CF76">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BD45810">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9339AC">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65799F0">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中标人未处于被行政部门禁止参与政府采购活动的期限内。 【说明：①中标人按招标文件要求提供书面声明材料；②中标人未处于被行政部门禁止参与政府采购活动的期限内。】</w:t>
            </w:r>
          </w:p>
        </w:tc>
      </w:tr>
      <w:tr w14:paraId="1A5EE1F3">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2BC1E7">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C205D3">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F3CA7C7">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在行贿犯罪信息查询期限内，中标人及其现任法定代表人、主要负责人没有行贿犯罪记录的书面声明材料。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73FE7FD9">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E29678">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0E6FDC9">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49A265D">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负责人为同一人或者存在直接控股、管理关系的不同中标人未同时参加本项目书面声明材料。 【说明：①中标人按招标文件要求提供书面声明材料；②参加本项目采购活动的中标人中无与其他同时参加本项目的中标人负责人为同一人的情况，不存在直接控股、管理关系的中标人参加本项目的情况。】</w:t>
            </w:r>
          </w:p>
        </w:tc>
      </w:tr>
      <w:tr w14:paraId="30B72E4F">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A9FF935">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F958F5">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16BFA2">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投标文件加盖有中标人（法定名称）电子签章。【说明：无须提供证明材料，上传空白页即可，不对本项上传的材料作资格审查】</w:t>
            </w:r>
          </w:p>
        </w:tc>
      </w:tr>
      <w:tr w14:paraId="577A5815">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C1B8B9A">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F5564E9">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AF40021">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语言符合招标文件的要求。 【说明：中标人无须提供证明材料，上传空白页即可，不对本项上传的材料作资格审查】</w:t>
            </w:r>
          </w:p>
        </w:tc>
      </w:tr>
      <w:tr w14:paraId="00B1DFF7">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5FE4F36">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6CBCA1">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A72AB4">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采购人对法律、行政法规规定的其他条件无其他特殊要求，中标人可不提供证明材料。 【说明：中标人无须提供证明材料，上传空白页即可，不对本项上传的材料作资格审查】</w:t>
            </w:r>
          </w:p>
        </w:tc>
      </w:tr>
      <w:tr w14:paraId="7A9CFB8B">
        <w:tblPrEx>
          <w:shd w:val="clear" w:color="auto" w:fill="FFFFFF"/>
          <w:tblCellMar>
            <w:top w:w="0" w:type="dxa"/>
            <w:left w:w="0" w:type="dxa"/>
            <w:bottom w:w="0" w:type="dxa"/>
            <w:right w:w="0" w:type="dxa"/>
          </w:tblCellMar>
        </w:tblPrEx>
        <w:trPr>
          <w:trHeight w:val="480" w:hRule="atLeast"/>
          <w:jc w:val="center"/>
        </w:trPr>
        <w:tc>
          <w:tcPr>
            <w:tcW w:w="57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9216FE">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471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1D4ED4">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027015">
            <w:pPr>
              <w:widowControl/>
              <w:wordWrap w:val="0"/>
              <w:spacing w:line="36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1、根据招标文件的要求不属于禁止参加投标或投标无效的供应商； 2、资格审查小组未发现或者未知晓中标人存在属于国家相关法律法规规定的禁止参加投标或投标无效的供应商。 【说明：中标人无须提供证明材料，上传空白页即可，不对本项上传的材料作资格审查】</w:t>
            </w:r>
          </w:p>
        </w:tc>
      </w:tr>
    </w:tbl>
    <w:p w14:paraId="73C579B0">
      <w:pPr>
        <w:widowControl/>
        <w:shd w:val="clear" w:color="auto" w:fill="FFFFFF"/>
        <w:spacing w:line="480" w:lineRule="auto"/>
        <w:outlineLvl w:val="4"/>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供应商特殊资格要求（如有）：</w:t>
      </w:r>
    </w:p>
    <w:tbl>
      <w:tblPr>
        <w:tblStyle w:val="14"/>
        <w:tblW w:w="1033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371"/>
        <w:gridCol w:w="6237"/>
      </w:tblGrid>
      <w:tr w14:paraId="301F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B70DCAA">
            <w:pPr>
              <w:widowControl/>
              <w:spacing w:line="480" w:lineRule="auto"/>
              <w:outlineLvl w:val="4"/>
              <w:rPr>
                <w:rFonts w:ascii="宋体" w:hAnsi="宋体" w:eastAsia="宋体" w:cs="宋体"/>
                <w:bCs/>
                <w:color w:val="000000" w:themeColor="text1"/>
                <w:kern w:val="0"/>
                <w:sz w:val="24"/>
                <w:szCs w:val="24"/>
                <w:highlight w:val="none"/>
                <w14:textFill>
                  <w14:solidFill>
                    <w14:schemeClr w14:val="tx1"/>
                  </w14:solidFill>
                </w14:textFill>
              </w:rPr>
            </w:pPr>
            <w:r>
              <w:rPr>
                <w:rFonts w:ascii="宋体" w:hAnsi="宋体" w:eastAsia="宋体" w:cs="宋体"/>
                <w:b/>
                <w:bCs/>
                <w:color w:val="000000" w:themeColor="text1"/>
                <w:kern w:val="0"/>
                <w:sz w:val="24"/>
                <w:szCs w:val="24"/>
                <w:highlight w:val="none"/>
                <w14:textFill>
                  <w14:solidFill>
                    <w14:schemeClr w14:val="tx1"/>
                  </w14:solidFill>
                </w14:textFill>
              </w:rPr>
              <w:t>序号</w:t>
            </w:r>
          </w:p>
        </w:tc>
        <w:tc>
          <w:tcPr>
            <w:tcW w:w="3371" w:type="dxa"/>
          </w:tcPr>
          <w:p w14:paraId="377E5904">
            <w:pPr>
              <w:widowControl/>
              <w:spacing w:line="480" w:lineRule="auto"/>
              <w:jc w:val="center"/>
              <w:outlineLvl w:val="4"/>
              <w:rPr>
                <w:rFonts w:ascii="宋体" w:hAnsi="宋体" w:eastAsia="宋体" w:cs="宋体"/>
                <w:bCs/>
                <w:color w:val="000000" w:themeColor="text1"/>
                <w:kern w:val="0"/>
                <w:sz w:val="24"/>
                <w:szCs w:val="24"/>
                <w:highlight w:val="none"/>
                <w14:textFill>
                  <w14:solidFill>
                    <w14:schemeClr w14:val="tx1"/>
                  </w14:solidFill>
                </w14:textFill>
              </w:rPr>
            </w:pPr>
            <w:r>
              <w:rPr>
                <w:rFonts w:ascii="宋体" w:hAnsi="宋体" w:eastAsia="宋体" w:cs="宋体"/>
                <w:b/>
                <w:bCs/>
                <w:color w:val="000000" w:themeColor="text1"/>
                <w:kern w:val="0"/>
                <w:sz w:val="24"/>
                <w:szCs w:val="24"/>
                <w:highlight w:val="none"/>
                <w14:textFill>
                  <w14:solidFill>
                    <w14:schemeClr w14:val="tx1"/>
                  </w14:solidFill>
                </w14:textFill>
              </w:rPr>
              <w:t>资格要求名称</w:t>
            </w:r>
          </w:p>
        </w:tc>
        <w:tc>
          <w:tcPr>
            <w:tcW w:w="6237" w:type="dxa"/>
          </w:tcPr>
          <w:p w14:paraId="4DF01CD9">
            <w:pPr>
              <w:widowControl/>
              <w:spacing w:line="480" w:lineRule="auto"/>
              <w:jc w:val="center"/>
              <w:outlineLvl w:val="4"/>
              <w:rPr>
                <w:rFonts w:ascii="宋体" w:hAnsi="宋体" w:eastAsia="宋体" w:cs="宋体"/>
                <w:bCs/>
                <w:color w:val="000000" w:themeColor="text1"/>
                <w:kern w:val="0"/>
                <w:sz w:val="24"/>
                <w:szCs w:val="24"/>
                <w:highlight w:val="none"/>
                <w14:textFill>
                  <w14:solidFill>
                    <w14:schemeClr w14:val="tx1"/>
                  </w14:solidFill>
                </w14:textFill>
              </w:rPr>
            </w:pPr>
            <w:r>
              <w:rPr>
                <w:rFonts w:ascii="宋体" w:hAnsi="宋体" w:eastAsia="宋体" w:cs="宋体"/>
                <w:b/>
                <w:bCs/>
                <w:color w:val="000000" w:themeColor="text1"/>
                <w:kern w:val="0"/>
                <w:sz w:val="24"/>
                <w:szCs w:val="24"/>
                <w:highlight w:val="none"/>
                <w14:textFill>
                  <w14:solidFill>
                    <w14:schemeClr w14:val="tx1"/>
                  </w14:solidFill>
                </w14:textFill>
              </w:rPr>
              <w:t>资格要求详细说明</w:t>
            </w:r>
          </w:p>
        </w:tc>
      </w:tr>
      <w:tr w14:paraId="7F4C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8E96305">
            <w:pPr>
              <w:widowControl/>
              <w:spacing w:line="480" w:lineRule="auto"/>
              <w:jc w:val="center"/>
              <w:outlineLvl w:val="4"/>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p>
        </w:tc>
        <w:tc>
          <w:tcPr>
            <w:tcW w:w="3371" w:type="dxa"/>
            <w:vAlign w:val="center"/>
          </w:tcPr>
          <w:p w14:paraId="45EFB6BB">
            <w:pPr>
              <w:widowControl/>
              <w:spacing w:line="360" w:lineRule="auto"/>
              <w:jc w:val="center"/>
              <w:outlineLvl w:val="4"/>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同类业绩要求</w:t>
            </w:r>
          </w:p>
        </w:tc>
        <w:tc>
          <w:tcPr>
            <w:tcW w:w="6237" w:type="dxa"/>
            <w:vAlign w:val="center"/>
          </w:tcPr>
          <w:p w14:paraId="271BC286">
            <w:pPr>
              <w:widowControl/>
              <w:spacing w:line="360" w:lineRule="auto"/>
              <w:jc w:val="left"/>
              <w:outlineLvl w:val="4"/>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20</w:t>
            </w:r>
            <w:r>
              <w:rPr>
                <w:color w:val="000000" w:themeColor="text1"/>
                <w:sz w:val="24"/>
                <w:szCs w:val="24"/>
                <w:highlight w:val="none"/>
                <w14:textFill>
                  <w14:solidFill>
                    <w14:schemeClr w14:val="tx1"/>
                  </w14:solidFill>
                </w14:textFill>
              </w:rPr>
              <w:t>22</w:t>
            </w:r>
            <w:r>
              <w:rPr>
                <w:rFonts w:hint="eastAsia" w:ascii="宋体" w:hAnsi="宋体"/>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日</w:t>
            </w:r>
            <w:r>
              <w:rPr>
                <w:rFonts w:ascii="宋体" w:hAnsi="宋体"/>
                <w:color w:val="000000" w:themeColor="text1"/>
                <w:sz w:val="24"/>
                <w:szCs w:val="24"/>
                <w:highlight w:val="none"/>
                <w14:textFill>
                  <w14:solidFill>
                    <w14:schemeClr w14:val="tx1"/>
                  </w14:solidFill>
                </w14:textFill>
              </w:rPr>
              <w:t>以来</w:t>
            </w:r>
            <w:r>
              <w:rPr>
                <w:rFonts w:hint="eastAsia" w:ascii="宋体" w:hAnsi="宋体"/>
                <w:color w:val="000000" w:themeColor="text1"/>
                <w:sz w:val="24"/>
                <w:szCs w:val="24"/>
                <w:highlight w:val="none"/>
                <w14:textFill>
                  <w14:solidFill>
                    <w14:schemeClr w14:val="tx1"/>
                  </w14:solidFill>
                </w14:textFill>
              </w:rPr>
              <w:t>至少</w:t>
            </w:r>
            <w:r>
              <w:rPr>
                <w:rFonts w:ascii="宋体" w:hAnsi="宋体"/>
                <w:color w:val="000000" w:themeColor="text1"/>
                <w:sz w:val="24"/>
                <w:szCs w:val="24"/>
                <w:highlight w:val="none"/>
                <w14:textFill>
                  <w14:solidFill>
                    <w14:schemeClr w14:val="tx1"/>
                  </w14:solidFill>
                </w14:textFill>
              </w:rPr>
              <w:t>具有</w:t>
            </w:r>
            <w:r>
              <w:rPr>
                <w:rFonts w:hint="eastAsia"/>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个非</w:t>
            </w:r>
            <w:r>
              <w:rPr>
                <w:rFonts w:ascii="宋体" w:hAnsi="宋体"/>
                <w:color w:val="000000" w:themeColor="text1"/>
                <w:sz w:val="24"/>
                <w:szCs w:val="24"/>
                <w:highlight w:val="none"/>
                <w14:textFill>
                  <w14:solidFill>
                    <w14:schemeClr w14:val="tx1"/>
                  </w14:solidFill>
                </w14:textFill>
              </w:rPr>
              <w:t>住宅类物业管理业绩，</w:t>
            </w:r>
            <w:r>
              <w:rPr>
                <w:rFonts w:hint="eastAsia" w:ascii="宋体" w:hAnsi="宋体"/>
                <w:color w:val="000000" w:themeColor="text1"/>
                <w:sz w:val="24"/>
                <w:szCs w:val="24"/>
                <w:highlight w:val="none"/>
                <w14:textFill>
                  <w14:solidFill>
                    <w14:schemeClr w14:val="tx1"/>
                  </w14:solidFill>
                </w14:textFill>
              </w:rPr>
              <w:t>同时</w:t>
            </w:r>
            <w:r>
              <w:rPr>
                <w:rFonts w:ascii="宋体" w:hAnsi="宋体"/>
                <w:color w:val="000000" w:themeColor="text1"/>
                <w:sz w:val="24"/>
                <w:szCs w:val="24"/>
                <w:highlight w:val="none"/>
                <w14:textFill>
                  <w14:solidFill>
                    <w14:schemeClr w14:val="tx1"/>
                  </w14:solidFill>
                </w14:textFill>
              </w:rPr>
              <w:t>获得业主满意</w:t>
            </w:r>
            <w:r>
              <w:rPr>
                <w:rFonts w:hint="eastAsia" w:ascii="宋体" w:hAnsi="宋体"/>
                <w:color w:val="000000" w:themeColor="text1"/>
                <w:sz w:val="24"/>
                <w:szCs w:val="24"/>
                <w:highlight w:val="none"/>
                <w14:textFill>
                  <w14:solidFill>
                    <w14:schemeClr w14:val="tx1"/>
                  </w14:solidFill>
                </w14:textFill>
              </w:rPr>
              <w:t>（好）</w:t>
            </w:r>
            <w:r>
              <w:rPr>
                <w:rFonts w:ascii="宋体" w:hAnsi="宋体"/>
                <w:color w:val="000000" w:themeColor="text1"/>
                <w:sz w:val="24"/>
                <w:szCs w:val="24"/>
                <w:highlight w:val="none"/>
                <w14:textFill>
                  <w14:solidFill>
                    <w14:schemeClr w14:val="tx1"/>
                  </w14:solidFill>
                </w14:textFill>
              </w:rPr>
              <w:t>评价</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（提供证明材料）</w:t>
            </w:r>
          </w:p>
        </w:tc>
      </w:tr>
    </w:tbl>
    <w:p w14:paraId="6ED3343B">
      <w:pPr>
        <w:widowControl/>
        <w:shd w:val="clear" w:color="auto" w:fill="FFFFFF"/>
        <w:spacing w:line="480" w:lineRule="auto"/>
        <w:outlineLvl w:val="4"/>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技术要求与标准：</w:t>
      </w:r>
    </w:p>
    <w:p w14:paraId="5637B787">
      <w:pPr>
        <w:spacing w:line="60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1、本项目的核心产品为</w:t>
      </w:r>
      <w:r>
        <w:rPr>
          <w:rFonts w:hint="eastAsia" w:ascii="宋体" w:hAnsi="宋体"/>
          <w:color w:val="000000" w:themeColor="text1"/>
          <w:sz w:val="24"/>
          <w:szCs w:val="24"/>
          <w:highlight w:val="none"/>
          <w14:textFill>
            <w14:solidFill>
              <w14:schemeClr w14:val="tx1"/>
            </w14:solidFill>
          </w14:textFill>
        </w:rPr>
        <w:t>：无</w:t>
      </w:r>
    </w:p>
    <w:p w14:paraId="56D0311D">
      <w:pPr>
        <w:spacing w:line="600" w:lineRule="exact"/>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2、本项目采购清单：:</w:t>
      </w:r>
      <w:r>
        <w:rPr>
          <w:rFonts w:hint="eastAsia" w:asciiTheme="minorEastAsia" w:hAnsiTheme="minorEastAsia"/>
          <w:color w:val="000000" w:themeColor="text1"/>
          <w:sz w:val="24"/>
          <w:szCs w:val="24"/>
          <w:highlight w:val="none"/>
          <w14:textFill>
            <w14:solidFill>
              <w14:schemeClr w14:val="tx1"/>
            </w14:solidFill>
          </w14:textFill>
        </w:rPr>
        <w:t>详见表1</w:t>
      </w:r>
    </w:p>
    <w:p w14:paraId="21B26764">
      <w:pPr>
        <w:spacing w:line="400" w:lineRule="exact"/>
        <w:ind w:firstLine="420" w:firstLineChars="20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表</w:t>
      </w:r>
      <w:r>
        <w:rPr>
          <w:rFonts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14:textFill>
            <w14:solidFill>
              <w14:schemeClr w14:val="tx1"/>
            </w14:solidFill>
          </w14:textFill>
        </w:rPr>
        <w:t>采购清单</w:t>
      </w:r>
    </w:p>
    <w:tbl>
      <w:tblPr>
        <w:tblStyle w:val="13"/>
        <w:tblpPr w:leftFromText="180" w:rightFromText="180" w:vertAnchor="text" w:horzAnchor="page" w:tblpX="1099" w:tblpY="54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812"/>
        <w:gridCol w:w="3017"/>
      </w:tblGrid>
      <w:tr w14:paraId="0E3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562F1CB9">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服务区域</w:t>
            </w:r>
          </w:p>
        </w:tc>
        <w:tc>
          <w:tcPr>
            <w:tcW w:w="5812" w:type="dxa"/>
            <w:vAlign w:val="center"/>
          </w:tcPr>
          <w:p w14:paraId="054D1B8A">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基本情况</w:t>
            </w:r>
          </w:p>
        </w:tc>
        <w:tc>
          <w:tcPr>
            <w:tcW w:w="3017" w:type="dxa"/>
            <w:vAlign w:val="center"/>
          </w:tcPr>
          <w:p w14:paraId="25D83BA3">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服务内容</w:t>
            </w:r>
          </w:p>
        </w:tc>
      </w:tr>
      <w:tr w14:paraId="471C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2C54783B">
            <w:pPr>
              <w:ind w:firstLine="210" w:firstLineChars="1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第一办公楼</w:t>
            </w:r>
          </w:p>
        </w:tc>
        <w:tc>
          <w:tcPr>
            <w:tcW w:w="5812" w:type="dxa"/>
            <w:vAlign w:val="center"/>
          </w:tcPr>
          <w:p w14:paraId="209C5C74">
            <w:pPr>
              <w:spacing w:line="240" w:lineRule="atLeast"/>
              <w:textAlignment w:val="baseline"/>
              <w:rPr>
                <w:rFonts w:asciiTheme="minorEastAsia" w:hAnsiTheme="minorEastAsia" w:cstheme="minorEastAsia"/>
                <w:szCs w:val="21"/>
                <w:highlight w:val="none"/>
              </w:rPr>
            </w:pPr>
            <w:r>
              <w:rPr>
                <w:rFonts w:hint="eastAsia" w:asciiTheme="minorEastAsia" w:hAnsiTheme="minorEastAsia" w:cstheme="minorEastAsia"/>
                <w:szCs w:val="21"/>
                <w:highlight w:val="none"/>
              </w:rPr>
              <w:t>建筑高度19.23米，总建筑面积9320 m²。第一办公楼楼层办公室92间，会议室8间，五楼小会议室4个，电梯机房1间(含电梯2部)，电管井5间，监控室1间，卫生间10间，喷水池1个。</w:t>
            </w:r>
          </w:p>
        </w:tc>
        <w:tc>
          <w:tcPr>
            <w:tcW w:w="3017" w:type="dxa"/>
            <w:vAlign w:val="center"/>
          </w:tcPr>
          <w:p w14:paraId="78699753">
            <w:pPr>
              <w:rPr>
                <w:rFonts w:ascii="宋体" w:hAnsi="宋体"/>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环境卫生(除各部门办公室、部门会议室以外的所有公共区域、公共房间)、秩序维护管理、搬抬服务、客服接待服务、维修服务、会议服务、公共设施设备管理及维修、第一办公楼绿植租摆服务、空调系统的监督管理、电梯系统的监督管理、喷水池管理等。</w:t>
            </w:r>
          </w:p>
        </w:tc>
      </w:tr>
      <w:tr w14:paraId="04D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56ECF0E5">
            <w:pPr>
              <w:ind w:firstLine="210" w:firstLineChars="1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第二办公楼</w:t>
            </w:r>
          </w:p>
        </w:tc>
        <w:tc>
          <w:tcPr>
            <w:tcW w:w="5812" w:type="dxa"/>
            <w:vAlign w:val="center"/>
          </w:tcPr>
          <w:p w14:paraId="790B3F86">
            <w:pPr>
              <w:rPr>
                <w:rFonts w:ascii="宋体" w:hAnsi="宋体"/>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建筑面积1118m²，楼前小广场及道路面积829 m²。会议室3 间，办公室27间，空调机房1个，电管井3间，卫生间3间。</w:t>
            </w:r>
          </w:p>
        </w:tc>
        <w:tc>
          <w:tcPr>
            <w:tcW w:w="3017" w:type="dxa"/>
            <w:vAlign w:val="center"/>
          </w:tcPr>
          <w:p w14:paraId="3D5EFC58">
            <w:pPr>
              <w:rPr>
                <w:rFonts w:ascii="宋体" w:hAnsi="宋体"/>
                <w:b/>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环境卫生(除各部门办公室、会议室以外的所有公共区域)、秩序管理、维修服务、公共设施设备管理及维修、空调系统的监督管理。</w:t>
            </w:r>
          </w:p>
        </w:tc>
      </w:tr>
      <w:tr w14:paraId="2FE9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3B95921C">
            <w:pPr>
              <w:ind w:firstLine="210" w:firstLineChars="1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第三办公楼</w:t>
            </w:r>
          </w:p>
        </w:tc>
        <w:tc>
          <w:tcPr>
            <w:tcW w:w="5812" w:type="dxa"/>
            <w:vAlign w:val="center"/>
          </w:tcPr>
          <w:p w14:paraId="4C0D184F">
            <w:pPr>
              <w:rPr>
                <w:rFonts w:ascii="宋体" w:hAnsi="宋体"/>
                <w:color w:val="000000" w:themeColor="text1"/>
                <w:highlight w:val="none"/>
                <w14:textFill>
                  <w14:solidFill>
                    <w14:schemeClr w14:val="tx1"/>
                  </w14:solidFill>
                </w14:textFill>
              </w:rPr>
            </w:pPr>
            <w:r>
              <w:rPr>
                <w:rFonts w:ascii="宋体" w:hAnsi="宋体" w:eastAsia="宋体" w:cs="宋体"/>
                <w:sz w:val="20"/>
                <w:highlight w:val="none"/>
              </w:rPr>
              <w:t>建筑面积463 m²，外围地面面积600 m²</w:t>
            </w:r>
            <w:r>
              <w:rPr>
                <w:rFonts w:hint="eastAsia" w:ascii="宋体" w:hAnsi="宋体" w:eastAsia="宋体" w:cs="宋体"/>
                <w:sz w:val="20"/>
                <w:highlight w:val="none"/>
              </w:rPr>
              <w:t>，</w:t>
            </w:r>
            <w:r>
              <w:rPr>
                <w:rFonts w:hint="eastAsia" w:asciiTheme="minorEastAsia" w:hAnsiTheme="minorEastAsia" w:cstheme="minorEastAsia"/>
                <w:szCs w:val="21"/>
                <w:highlight w:val="none"/>
              </w:rPr>
              <w:t>12间办公室，</w:t>
            </w:r>
            <w:r>
              <w:rPr>
                <w:rFonts w:ascii="宋体" w:hAnsi="宋体" w:eastAsia="宋体" w:cs="宋体"/>
                <w:sz w:val="20"/>
                <w:highlight w:val="none"/>
              </w:rPr>
              <w:t>会议室及谈话室4间，</w:t>
            </w:r>
            <w:r>
              <w:rPr>
                <w:rFonts w:hint="eastAsia" w:asciiTheme="minorEastAsia" w:hAnsiTheme="minorEastAsia" w:cstheme="minorEastAsia"/>
                <w:szCs w:val="21"/>
                <w:highlight w:val="none"/>
              </w:rPr>
              <w:t>监控室1间，电管井2间，</w:t>
            </w:r>
            <w:r>
              <w:rPr>
                <w:rFonts w:hint="eastAsia" w:ascii="宋体" w:hAnsi="宋体" w:eastAsia="宋体" w:cs="宋体"/>
                <w:sz w:val="20"/>
                <w:highlight w:val="none"/>
              </w:rPr>
              <w:t>卫生间2间</w:t>
            </w:r>
            <w:r>
              <w:rPr>
                <w:rFonts w:hint="eastAsia" w:asciiTheme="minorEastAsia" w:hAnsiTheme="minorEastAsia" w:cstheme="minorEastAsia"/>
                <w:szCs w:val="21"/>
                <w:highlight w:val="none"/>
              </w:rPr>
              <w:t>。</w:t>
            </w:r>
          </w:p>
        </w:tc>
        <w:tc>
          <w:tcPr>
            <w:tcW w:w="3017" w:type="dxa"/>
            <w:vAlign w:val="center"/>
          </w:tcPr>
          <w:p w14:paraId="199077E6">
            <w:pPr>
              <w:rPr>
                <w:rFonts w:ascii="宋体" w:hAnsi="宋体"/>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环境卫生（除各部门办公室以外所有公共区域、会议室）、秩序管理、搬抬服务、维修服务、公共设施设备管理及维修、空调系统的监督管理。</w:t>
            </w:r>
          </w:p>
        </w:tc>
      </w:tr>
      <w:tr w14:paraId="4E5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58EBC6A8">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第五教学楼、</w:t>
            </w:r>
          </w:p>
          <w:p w14:paraId="4E131E48">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第六教学楼</w:t>
            </w:r>
          </w:p>
        </w:tc>
        <w:tc>
          <w:tcPr>
            <w:tcW w:w="5812" w:type="dxa"/>
            <w:vAlign w:val="center"/>
          </w:tcPr>
          <w:p w14:paraId="357928F0">
            <w:pPr>
              <w:spacing w:line="300" w:lineRule="atLeast"/>
              <w:ind w:right="40"/>
              <w:textAlignment w:val="baseline"/>
              <w:rPr>
                <w:rFonts w:asciiTheme="minorEastAsia" w:hAnsiTheme="minorEastAsia" w:cstheme="minorEastAsia"/>
                <w:szCs w:val="21"/>
                <w:highlight w:val="none"/>
              </w:rPr>
            </w:pPr>
            <w:r>
              <w:rPr>
                <w:rFonts w:hint="eastAsia" w:asciiTheme="minorEastAsia" w:hAnsiTheme="minorEastAsia" w:cstheme="minorEastAsia"/>
                <w:szCs w:val="21"/>
                <w:highlight w:val="none"/>
              </w:rPr>
              <w:t>1、第五教学楼分为 A、B、C、D区，五层楼框架建筑, 建筑高度22.2米, 总建筑面积4.33万m²。A、D办公区办公室共计180间，B、C区多媒体教室60间，活动教室1间，教员休息室3间，物业用房3间，杂物室2间，监控室1间。第五教学楼有总配电房1间，竖井 17 个；有出入口 24 个(进出口门厅安装有实时全方位监控系统)。上下楼通道 17个(含电梯2部)，卫生间74间。</w:t>
            </w:r>
          </w:p>
          <w:p w14:paraId="18D3C5FB">
            <w:pPr>
              <w:spacing w:line="300" w:lineRule="atLeast"/>
              <w:ind w:right="40"/>
              <w:textAlignment w:val="baseline"/>
              <w:rPr>
                <w:rFonts w:asciiTheme="minorEastAsia" w:hAnsiTheme="minorEastAsia" w:cstheme="minorEastAsia"/>
                <w:szCs w:val="21"/>
                <w:highlight w:val="none"/>
              </w:rPr>
            </w:pPr>
            <w:r>
              <w:rPr>
                <w:rFonts w:hint="eastAsia" w:asciiTheme="minorEastAsia" w:hAnsiTheme="minorEastAsia" w:cstheme="minorEastAsia"/>
                <w:szCs w:val="21"/>
                <w:highlight w:val="none"/>
              </w:rPr>
              <w:t>2、第六教学楼分为 A、B、C、D区，五层楼框架建筑, 建筑高度 22.2米, 总建筑面积: 6.27 万m²。A、D办公区办公室共计224间，B、C区多媒体教室 121间，活动教室1间，教员休息室4间，杂物室6间，研究生考试用房2间，设备房1间，物业用房5间。第六教学楼有总配电房1间，竖井22个；有出入口21个(进出口门厅安装有实时全方位监控系统)。安装有自动消防报警系统。上下楼通道24个 (含电梯2部)，卫生间72间。</w:t>
            </w:r>
          </w:p>
          <w:p w14:paraId="5C67CAF2">
            <w:pPr>
              <w:rPr>
                <w:rFonts w:ascii="宋体" w:hAnsi="宋体"/>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3、五、六教内庭绿化面积：2万m²。</w:t>
            </w:r>
          </w:p>
        </w:tc>
        <w:tc>
          <w:tcPr>
            <w:tcW w:w="3017" w:type="dxa"/>
            <w:vAlign w:val="center"/>
          </w:tcPr>
          <w:p w14:paraId="60B29392">
            <w:pPr>
              <w:rPr>
                <w:rFonts w:ascii="宋体" w:hAnsi="宋体"/>
                <w:color w:val="000000" w:themeColor="text1"/>
                <w:highlight w:val="none"/>
                <w14:textFill>
                  <w14:solidFill>
                    <w14:schemeClr w14:val="tx1"/>
                  </w14:solidFill>
                </w14:textFill>
              </w:rPr>
            </w:pPr>
            <w:r>
              <w:rPr>
                <w:rFonts w:hint="eastAsia" w:asciiTheme="minorEastAsia" w:hAnsiTheme="minorEastAsia" w:cstheme="minorEastAsia"/>
                <w:szCs w:val="21"/>
                <w:highlight w:val="none"/>
              </w:rPr>
              <w:t>环境卫生(除各部门办公室、会议室、实验室以外的所有公共区域、公共房间、设备房)、秩序管理、客服接待、多媒体教室管理服务、电梯系统的监督管理、维修服务、公共设施设备管理及维修、第五、第六教学楼内庭绿化养护服务等。</w:t>
            </w:r>
          </w:p>
        </w:tc>
      </w:tr>
    </w:tbl>
    <w:p w14:paraId="7A12ABB5">
      <w:pPr>
        <w:spacing w:line="600" w:lineRule="exact"/>
        <w:ind w:firstLine="482" w:firstLineChars="200"/>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3、技术（服务）及商务需求（实质性条款）</w:t>
      </w:r>
    </w:p>
    <w:p w14:paraId="4A0A44BE">
      <w:pPr>
        <w:spacing w:line="56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3</w:t>
      </w:r>
      <w:r>
        <w:rPr>
          <w:rFonts w:hint="eastAsia" w:asciiTheme="minorEastAsia" w:hAnsiTheme="minorEastAsia"/>
          <w:color w:val="000000" w:themeColor="text1"/>
          <w:sz w:val="24"/>
          <w:szCs w:val="24"/>
          <w:highlight w:val="none"/>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szCs w:val="24"/>
          <w:highlight w:val="none"/>
          <w14:textFill>
            <w14:solidFill>
              <w14:schemeClr w14:val="tx1"/>
            </w14:solidFill>
          </w14:textFill>
        </w:rPr>
        <w:t>总体要求</w:t>
      </w:r>
    </w:p>
    <w:p w14:paraId="07F64A06">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（1）中标人在采购人物业管理服务过程中，应当以“诚信服务”为宗旨，贯彻“全员育人、全程育人、全方位育人”育人理念，积极配合采购人各项工作开展。</w:t>
      </w:r>
    </w:p>
    <w:p w14:paraId="0BABB38B">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（2）中标人应接受采购人的统一管理，自身具备完善的管理体系、管理制度、管理规程及考核办法，为采购人开展的各项工作、活动提供优质服务。</w:t>
      </w:r>
    </w:p>
    <w:p w14:paraId="1DECAAB8">
      <w:pPr>
        <w:spacing w:line="560" w:lineRule="exact"/>
        <w:ind w:firstLine="480" w:firstLineChars="200"/>
        <w:rPr>
          <w:highlight w:val="none"/>
        </w:rPr>
      </w:pPr>
      <w:r>
        <w:rPr>
          <w:rFonts w:hint="eastAsia" w:ascii="宋体" w:hAnsi="宋体"/>
          <w:color w:val="000000" w:themeColor="text1"/>
          <w:sz w:val="24"/>
          <w:szCs w:val="24"/>
          <w:highlight w:val="none"/>
          <w14:textFill>
            <w14:solidFill>
              <w14:schemeClr w14:val="tx1"/>
            </w14:solidFill>
          </w14:textFill>
        </w:rPr>
        <w:t>（3）中标人应按照采购人划定的工作范围、工作内容及管理目标成立项目物业服务机构，制定符合项目实际情况的工作流程、工作标准、工作制度及监督考核办法，合理安排人员，科学管理，严格要求，达标运行。同时接受学校分管领导、职能部门的监督、检查、指导、考核，发现问题及时沟通、整改。</w:t>
      </w:r>
    </w:p>
    <w:p w14:paraId="0A7D7476">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按照“新安法”和采购人对安全生产管理要求，中标人应建立本项目的物业安全生产管理体系，建立健全全员安全生产责任制和安全生产规章制度，防止和减少生产安全事故，保障全校师生生命和财产安全。中标人应在服务期内提供的全过程中承担所有与安全生产方面相关的责任和义务，包括以下内容：</w:t>
      </w:r>
    </w:p>
    <w:p w14:paraId="68E8E359">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1）确保所有服务内容都遵守国家和地方适用有关职业健康安全的法律法规要求以及采购人的规章制度。</w:t>
      </w:r>
    </w:p>
    <w:p w14:paraId="472BC60E">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2）确保所有服务的作业人员都经过安全知识、技术操作等各方面的培训。</w:t>
      </w:r>
    </w:p>
    <w:p w14:paraId="62431B04">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3）确保所有设备、设施都符合国家法律和采购人的要求，并能正确地安全地工作，所有工作程序和方法都能正确得到实施。</w:t>
      </w:r>
    </w:p>
    <w:p w14:paraId="1E3EA237">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4）确保所有安全风险作业都在实施前与采购人进行通报和协商。</w:t>
      </w:r>
    </w:p>
    <w:p w14:paraId="5B54FDF2">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5）确保在接到采购人对作业人员的不安全行为发出口头或书面通知后，立即实施整改措施。</w:t>
      </w:r>
    </w:p>
    <w:p w14:paraId="1A5563F8">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6）管理服务范围内没有因管理服务不当而发生刑事案件和失窃、火灾、交通等安全事故，因中标人管理服务不当造成安全事故，中标人应承担全部责任。</w:t>
      </w:r>
    </w:p>
    <w:p w14:paraId="48FE6DF9">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做好项目应急安全管理服务，防止物业服务不及时给采购人造成困扰，以及有关安全事故的发生，需结合本项目实际制订应急服务方案：成立应急小组，应急小组组织及指挥启动相关应急预案，负责与外部相关机构的联系，召集工作人员、准备应急物资、组织实施应急措施。应在投标文件的突发事件应急预案中提供应急小组成员名单需含姓名及联系电话，应急小组成员24小时保持电话畅通。</w:t>
      </w:r>
    </w:p>
    <w:p w14:paraId="76448B1B">
      <w:pPr>
        <w:pStyle w:val="8"/>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中标人应单独承诺在服务期内提供的全过程中承担所有与安全生产方面相关的责任和义务，包括1）至7）点内容。</w:t>
      </w:r>
    </w:p>
    <w:p w14:paraId="26BEE48A">
      <w:pPr>
        <w:spacing w:line="560" w:lineRule="exact"/>
        <w:ind w:firstLine="480" w:firstLineChars="200"/>
        <w:rPr>
          <w:highlight w:val="none"/>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西华大学为人员密集的教育场所，一旦出现紧急、危险情况，容易引起人员伤害和财产损失。中标人应提供切实有效且符合项目实际情况的应急处置预案（包括不限于各类常见紧急情况（地震、暴雨或灾害性天气、突发公共卫生事件、学生打架斗殴、学生意外伤害等）、各类设施设备异常及故障（给排水系统故障、供配电系统故障、电梯系统故障等）、防洪防汛、电梯困人、消防应急预案、新冠疫情防控等）并高度配合采购人做好学校突发事件应急处置及师生意外伤害救护工作。</w:t>
      </w:r>
    </w:p>
    <w:p w14:paraId="17F4A16B">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（6）中标人物业服务人员应熟悉并掌握职责管辖范围内人员、物品、设施等情况，以及相应的服务标准、工作流程、操作规范、注意事项、应急处理措施等。</w:t>
      </w:r>
    </w:p>
    <w:p w14:paraId="54D2F8EA">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中标人应具有完善的管理体系、专业的物业服务技能人才及良好的人力资源储备及招聘渠道，具有良好的物业服务人员派遣能力，并建立合法的劳资关系，同时具有人员稳定的措施，能充分保障物业服务现场用人所需。</w:t>
      </w:r>
    </w:p>
    <w:p w14:paraId="584D5E1E">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（8）中标人物业服务人员应接受过相关岗位的培训，掌握物业管理相关的法律、法规和政策，熟悉本物业的基本情况和特点，能正确使用和维护相关设施、设备。</w:t>
      </w:r>
    </w:p>
    <w:p w14:paraId="065EAC5D">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中标人应配合采购人做好本项目节能减排工作，在物业管理工作中，完善节能管理制度，做好能源管理，厉行节约用水、用电、用气，加强相关设施设备的维护和巡查，做好能耗分析，积极向采购人提供节能措施及建议，消除不必要的能源消耗，在设施设备管理与维修服务方案中提供节能管理方案，根据采购人需求和工作目标参与“节约型公共机构”的建设工作。</w:t>
      </w:r>
    </w:p>
    <w:p w14:paraId="1A75C6F2">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）中标供应商在做好日常物业服务工作的同时，有责任向采购人提供合理化建议，以提高管理效率和管理质量。</w:t>
      </w:r>
    </w:p>
    <w:p w14:paraId="66DB90B4">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）中标人为本项目提供的所有服务符合现行的强制性国家相关标准、行业标准。</w:t>
      </w:r>
    </w:p>
    <w:p w14:paraId="1579F1B9">
      <w:pPr>
        <w:spacing w:line="5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 xml:space="preserve"> 环境卫生服务</w:t>
      </w:r>
    </w:p>
    <w:p w14:paraId="5A747A28">
      <w:pPr>
        <w:spacing w:line="5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.1 服务内容</w:t>
      </w:r>
    </w:p>
    <w:p w14:paraId="5A51D320">
      <w:pPr>
        <w:numPr>
          <w:ilvl w:val="0"/>
          <w:numId w:val="1"/>
        </w:numPr>
        <w:spacing w:line="560" w:lineRule="exact"/>
        <w:ind w:left="-6" w:firstLine="425"/>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一办公楼、第二办公楼及第三办公楼的大厅、楼梯、公共会议室、指定办公室、天台、平台、电梯间、卫生间、第二和第三办公楼外围道路及停车区、喷水池、公共设施等区域的卫生清洁服务、垃圾的收集清运。</w:t>
      </w:r>
    </w:p>
    <w:p w14:paraId="1F9CAB26">
      <w:pPr>
        <w:numPr>
          <w:ilvl w:val="0"/>
          <w:numId w:val="1"/>
        </w:numPr>
        <w:spacing w:line="560" w:lineRule="exact"/>
        <w:ind w:left="-6" w:firstLine="425"/>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第五、第六教学楼的公共过道、大厅、楼梯、卫生间、所有公共房间(除各单位办公室、会议室、实验室)及教室、公共设施等区域的卫生清洁服务和垃圾收集清运。</w:t>
      </w:r>
    </w:p>
    <w:p w14:paraId="70AAC443">
      <w:pPr>
        <w:numPr>
          <w:ilvl w:val="0"/>
          <w:numId w:val="1"/>
        </w:numPr>
        <w:spacing w:line="560" w:lineRule="exact"/>
        <w:ind w:left="-6" w:firstLine="425"/>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第一办公楼、第二办公楼、第三办公楼卫生间和公共会议室便民设施及耗材的保障；第五教学楼、第六教学楼的卫生间便民设施及耗材的保障。</w:t>
      </w:r>
    </w:p>
    <w:p w14:paraId="199A75E9">
      <w:pPr>
        <w:spacing w:line="4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.2 服务要求</w:t>
      </w:r>
    </w:p>
    <w:p w14:paraId="40542DC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（1）上岗人员必须仪容端庄、仪表整洁、礼貌服务。</w:t>
      </w:r>
    </w:p>
    <w:p w14:paraId="57760DA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（2）设立完备的清洁岗位，在规定时间内，始终保持有岗、有人、有服务。</w:t>
      </w:r>
    </w:p>
    <w:p w14:paraId="27AB8A0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（3）定岗、定人、定时进行楼道、厕所、教室、会议室、公共区域的清洁服务工作，服务规范，程序完善。</w:t>
      </w:r>
    </w:p>
    <w:p w14:paraId="2EA2C86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（4）建立消杀工作管理制度，根据卫生部门要求及实际情况定期开展消杀工作，有效控制害虫（含白蚁等）孳生，定期对各类病虫害进行预防控制，做好记录。</w:t>
      </w:r>
    </w:p>
    <w:p w14:paraId="3FDFBBD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（5）做好常态化防控工作，特别是秩序、环境卫生、公区消毒、员工排查等。</w:t>
      </w:r>
      <w:bookmarkStart w:id="2" w:name="_Hlk101761322"/>
    </w:p>
    <w:p w14:paraId="4F01714D">
      <w:pPr>
        <w:spacing w:line="46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（6）中标人应制定公共区域保洁服务标准、工作流程、操作规范、注意事项、应急处理措施等。</w:t>
      </w:r>
    </w:p>
    <w:p w14:paraId="2EF85110">
      <w:pPr>
        <w:spacing w:line="46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（7）中标人应制定校内垃圾收集转运标准、工作流程、操作规范、注意事项、应急处理措施等。</w:t>
      </w:r>
    </w:p>
    <w:p w14:paraId="4D2147DC">
      <w:pPr>
        <w:spacing w:line="46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（8）中标人提供的公共区域保洁服务不应影响正常教学、科研、办公活动及课间休息。</w:t>
      </w:r>
    </w:p>
    <w:p w14:paraId="65F6098A">
      <w:pPr>
        <w:spacing w:line="460" w:lineRule="exact"/>
        <w:ind w:firstLine="480" w:firstLineChars="200"/>
        <w:rPr>
          <w:color w:val="000000" w:themeColor="text1"/>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9）中标人应按照环境保洁服务内容、服务要求、服务标准开展本项目环境保洁服务工作，提供环境保洁服务方案，方案应包含不限于人员配置及职责、管理制度、考核办法、过道/走廊/电梯清洁服务方案、室外公共区域保洁服务方案、垃圾收集转运方案、消杀方案及会议室/厕所/教室清洁服务方案等。</w:t>
      </w:r>
    </w:p>
    <w:bookmarkEnd w:id="2"/>
    <w:p w14:paraId="72060046">
      <w:pPr>
        <w:spacing w:line="460" w:lineRule="exact"/>
        <w:ind w:firstLine="482" w:firstLineChars="200"/>
        <w:rPr>
          <w:rFonts w:ascii="宋体" w:hAnsi="宋体"/>
          <w:b/>
          <w:color w:val="auto"/>
          <w:sz w:val="24"/>
          <w:szCs w:val="24"/>
          <w:highlight w:val="none"/>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.3 服务标准</w:t>
      </w:r>
    </w:p>
    <w:p w14:paraId="58DF2012">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（1）过道、走廊及电梯</w:t>
      </w:r>
    </w:p>
    <w:p w14:paraId="293E69C4">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1）所管区域道路和地面：无污迹、无水泥迹、无口香糖等胶迹、无水迹、无堆放杂物、无青苔。</w:t>
      </w:r>
    </w:p>
    <w:p w14:paraId="5961E547">
      <w:pPr>
        <w:pStyle w:val="8"/>
        <w:spacing w:line="360" w:lineRule="auto"/>
        <w:ind w:firstLine="720" w:firstLineChars="300"/>
        <w:rPr>
          <w:rFonts w:ascii="宋体" w:hAnsi="宋体"/>
          <w:color w:val="auto"/>
          <w:sz w:val="24"/>
          <w:highlight w:val="none"/>
        </w:rPr>
      </w:pPr>
      <w:r>
        <w:rPr>
          <w:rFonts w:hint="eastAsia" w:ascii="宋体" w:hAnsi="宋体"/>
          <w:color w:val="auto"/>
          <w:sz w:val="24"/>
          <w:highlight w:val="none"/>
        </w:rPr>
        <w:t>2）绿化带、花草盆：无垃圾、无脏杂物，和明显积尘，花草盆侧面及槽边无污迹、无积尘、无积水和异味。</w:t>
      </w:r>
    </w:p>
    <w:p w14:paraId="09BE754D">
      <w:pPr>
        <w:pStyle w:val="8"/>
        <w:spacing w:line="360" w:lineRule="auto"/>
        <w:ind w:firstLine="720" w:firstLineChars="300"/>
        <w:rPr>
          <w:rFonts w:ascii="宋体" w:hAnsi="宋体"/>
          <w:color w:val="auto"/>
          <w:sz w:val="24"/>
          <w:highlight w:val="none"/>
        </w:rPr>
      </w:pPr>
      <w:r>
        <w:rPr>
          <w:rFonts w:hint="eastAsia" w:ascii="宋体" w:hAnsi="宋体"/>
          <w:color w:val="auto"/>
          <w:sz w:val="24"/>
          <w:highlight w:val="none"/>
        </w:rPr>
        <w:t>3）阶梯：无污迹、无水泥迹、无口香糖等胶迹、无积水、无堆放杂物。</w:t>
      </w:r>
    </w:p>
    <w:p w14:paraId="399AD823">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4）扶手：无污迹、无水泥。</w:t>
      </w:r>
    </w:p>
    <w:p w14:paraId="4E0252B0">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5）墙面：无污迹、无乱张贴物。</w:t>
      </w:r>
    </w:p>
    <w:p w14:paraId="43D886DB">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6）门窗：无污迹、无积尘、无乱张贴物。</w:t>
      </w:r>
    </w:p>
    <w:p w14:paraId="50670BB7">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7）指示牌：无污迹、无积尘。</w:t>
      </w:r>
    </w:p>
    <w:p w14:paraId="5A9CE403">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8）消火栓：无污迹、无积尘。</w:t>
      </w:r>
    </w:p>
    <w:p w14:paraId="50DABBB5">
      <w:pPr>
        <w:spacing w:line="360" w:lineRule="auto"/>
        <w:ind w:firstLine="720" w:firstLineChars="300"/>
        <w:rPr>
          <w:color w:val="auto"/>
          <w:highlight w:val="none"/>
        </w:rPr>
      </w:pPr>
      <w:r>
        <w:rPr>
          <w:rFonts w:hint="eastAsia" w:ascii="宋体" w:hAnsi="宋体"/>
          <w:color w:val="auto"/>
          <w:sz w:val="24"/>
          <w:highlight w:val="none"/>
        </w:rPr>
        <w:t>9）出入栏杆：无污迹、无积尘</w:t>
      </w:r>
    </w:p>
    <w:p w14:paraId="78158CEE">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10）电梯轿厢：无污渍无粘贴物；灯具、操作指示板明亮；厢内地面干净无异味；电梯门槽内无垃圾无杂物。</w:t>
      </w:r>
    </w:p>
    <w:p w14:paraId="17DC2EE5">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11）地漏及排水口：无污物、无阻塞。</w:t>
      </w:r>
    </w:p>
    <w:p w14:paraId="2836F61A">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12）垃圾桶：桶体光洁无污迹、无痰迹，烟灰缸上无烟头、杂物，桶内垃圾不得超过桶口。</w:t>
      </w:r>
    </w:p>
    <w:p w14:paraId="48C1AFE5">
      <w:pPr>
        <w:spacing w:line="460" w:lineRule="exact"/>
        <w:ind w:firstLine="720" w:firstLineChars="300"/>
        <w:rPr>
          <w:color w:val="auto"/>
          <w:highlight w:val="none"/>
        </w:rPr>
      </w:pPr>
      <w:r>
        <w:rPr>
          <w:rFonts w:hint="eastAsia" w:ascii="宋体" w:hAnsi="宋体"/>
          <w:color w:val="auto"/>
          <w:sz w:val="24"/>
          <w:highlight w:val="none"/>
        </w:rPr>
        <w:t>13）垃圾：日产日清，做好垃圾分类、垃圾袋装化、将所有垃圾集中堆放在垃圾点做到合理、卫生、四周无散放垃圾；垃圾堆放点保持清洁、无异味、经常喷洒药水防止虫害。</w:t>
      </w:r>
    </w:p>
    <w:p w14:paraId="0C0039BB">
      <w:pPr>
        <w:spacing w:line="460" w:lineRule="exact"/>
        <w:ind w:firstLine="240" w:firstLineChars="100"/>
        <w:rPr>
          <w:rFonts w:ascii="宋体" w:hAnsi="宋体"/>
          <w:color w:val="auto"/>
          <w:sz w:val="24"/>
          <w:highlight w:val="none"/>
        </w:rPr>
      </w:pPr>
      <w:r>
        <w:rPr>
          <w:rFonts w:hint="eastAsia" w:ascii="宋体" w:hAnsi="宋体"/>
          <w:color w:val="auto"/>
          <w:sz w:val="24"/>
          <w:highlight w:val="none"/>
        </w:rPr>
        <w:t>（2）洗手间</w:t>
      </w:r>
    </w:p>
    <w:p w14:paraId="2C594EAD">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1）地面：无污迹、无水泥迹、无口香糖等胶迹、无积水、无堆放杂物。</w:t>
      </w:r>
    </w:p>
    <w:p w14:paraId="05E9FD1F">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2）墙面：无污迹、无乱张贴物、无蜘蛛网。</w:t>
      </w:r>
    </w:p>
    <w:p w14:paraId="7B426947">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3）天花板：无污迹、无积尘、无蜘蛛网、无霉迹。</w:t>
      </w:r>
    </w:p>
    <w:p w14:paraId="5F009047">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4）光管罩：无污迹、无积尘、无蜘蛛网、无霉迹。</w:t>
      </w:r>
    </w:p>
    <w:p w14:paraId="2150EC8D">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5）窗户：无污迹、无积尘、无乱张贴物。</w:t>
      </w:r>
    </w:p>
    <w:p w14:paraId="708C186C">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6）镜台：无污迹、无积尘、无乱张贴物。</w:t>
      </w:r>
    </w:p>
    <w:p w14:paraId="3BDFA309">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7）洗手盆：表面光洁、无污迹。</w:t>
      </w:r>
    </w:p>
    <w:p w14:paraId="252A6E22">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8）镜面：无污迹、无积尘、无乱张贴物。</w:t>
      </w:r>
    </w:p>
    <w:p w14:paraId="53CCFC85">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9）排气口：无污迹、无积尘、无蜘蛛网、无霉迹。</w:t>
      </w:r>
    </w:p>
    <w:p w14:paraId="59D8262A">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10）尿槽：表面光洁、无尿迹、无污迹、无水锈迹、无烟头、无杂物、无异味。</w:t>
      </w:r>
    </w:p>
    <w:p w14:paraId="20C8A37F">
      <w:pPr>
        <w:spacing w:line="460" w:lineRule="exact"/>
        <w:ind w:firstLine="720" w:firstLineChars="300"/>
        <w:rPr>
          <w:rFonts w:ascii="宋体" w:hAnsi="宋体"/>
          <w:color w:val="auto"/>
          <w:sz w:val="24"/>
          <w:highlight w:val="none"/>
        </w:rPr>
      </w:pPr>
      <w:r>
        <w:rPr>
          <w:rFonts w:hint="eastAsia" w:ascii="宋体" w:hAnsi="宋体"/>
          <w:color w:val="auto"/>
          <w:sz w:val="24"/>
          <w:highlight w:val="none"/>
        </w:rPr>
        <w:t>11）厕座：厕盖及厕体内外光洁，其内无尿迹、无污迹、无水锈迹、无阻塞。</w:t>
      </w:r>
    </w:p>
    <w:p w14:paraId="609BA663">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12）擦手纸及卷纸盒、皂液盒：无污迹、无积尘、无蜘蛛网、无霉迹。</w:t>
      </w:r>
    </w:p>
    <w:p w14:paraId="29151823">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13）门窗：无污迹、无积尘、无乱张贴物、透光性好。</w:t>
      </w:r>
    </w:p>
    <w:p w14:paraId="59716360">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14）地漏及水沟：无污物积聚、无阻塞。</w:t>
      </w:r>
    </w:p>
    <w:p w14:paraId="05EBB887">
      <w:pPr>
        <w:pStyle w:val="8"/>
        <w:spacing w:line="360" w:lineRule="auto"/>
        <w:ind w:firstLine="720" w:firstLineChars="300"/>
        <w:rPr>
          <w:color w:val="auto"/>
          <w:highlight w:val="none"/>
        </w:rPr>
      </w:pPr>
      <w:r>
        <w:rPr>
          <w:rFonts w:hint="eastAsia" w:ascii="宋体" w:hAnsi="宋体"/>
          <w:color w:val="auto"/>
          <w:sz w:val="24"/>
          <w:highlight w:val="none"/>
        </w:rPr>
        <w:t>15）垃圾桶:垃圾不可溢出桶身。</w:t>
      </w:r>
    </w:p>
    <w:p w14:paraId="591A07F7">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（3）会议室及教室</w:t>
      </w:r>
    </w:p>
    <w:p w14:paraId="517C9030">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 xml:space="preserve">1）会议室：每日会前、会后各清洁一次，重点消毒门把手、话筒等高频接触区域；地毯无污渍、灰尘，地面光亮无杂物，空气净化设备PM2.5值≤35；温度控制在22-26℃，湿度40%-60%，及时更换损坏灯具，确保会议室内明亮；绿植摆放美观，枯叶及时更换，垃圾桶每2小时清理一次。  </w:t>
      </w:r>
    </w:p>
    <w:p w14:paraId="6929A1FA">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2）地面：无污迹、无水泥迹、无纸屑；无口香糖等胶迹、无积水、无堆放杂物。</w:t>
      </w:r>
    </w:p>
    <w:p w14:paraId="61A7CA11">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3）墙面：无污迹、无乱张贴物。</w:t>
      </w:r>
    </w:p>
    <w:p w14:paraId="259DD046">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4）天花板：无污迹、无积尘、无蜘蛛网、无霉迹。</w:t>
      </w:r>
    </w:p>
    <w:p w14:paraId="2289A3B1">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5）光管罩：无污迹、无积尘、无蜘蛛网、无霉迹。</w:t>
      </w:r>
    </w:p>
    <w:p w14:paraId="084CF2C6">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6）桌椅：无污迹、无积尘、无水迹、无张贴物、整洁。</w:t>
      </w:r>
    </w:p>
    <w:p w14:paraId="30C7377F">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7）窗户：无污迹、无积尘、无乱张贴物、无蜘蛛网。</w:t>
      </w:r>
    </w:p>
    <w:p w14:paraId="718D07E0">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8）黑板及讲台：干净整洁、无污迹、无积尘、无积灰、无乱张贴物</w:t>
      </w:r>
    </w:p>
    <w:p w14:paraId="79766AF5">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9）多媒体设施：无污迹、无积灰、无乱张贴物。</w:t>
      </w:r>
    </w:p>
    <w:p w14:paraId="551AF644">
      <w:pPr>
        <w:pStyle w:val="8"/>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10）操作柜：无污迹、无积尘、无乱张贴物、物资摆放规整有序。</w:t>
      </w:r>
    </w:p>
    <w:p w14:paraId="4C4F9101">
      <w:pPr>
        <w:pStyle w:val="8"/>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11）装饰物：无污迹、无积尘、无乱张贴物。</w:t>
      </w:r>
    </w:p>
    <w:p w14:paraId="0CAE31AC">
      <w:pPr>
        <w:spacing w:line="46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（4）露台，包括天台、平台、阳台</w:t>
      </w:r>
    </w:p>
    <w:p w14:paraId="4E5DF48F">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1）消火栓：无污迹、无积尘、无乱张贴物。</w:t>
      </w:r>
    </w:p>
    <w:p w14:paraId="0AF0F746">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2）地漏及水沟：无污物积聚、无阻塞、无杂草。</w:t>
      </w:r>
    </w:p>
    <w:p w14:paraId="5EB3D5F4">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3）地面：无堆放杂物、无垃圾、无污迹。</w:t>
      </w:r>
    </w:p>
    <w:p w14:paraId="7114794E">
      <w:pPr>
        <w:spacing w:line="46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（5）保洁频次要求</w:t>
      </w:r>
    </w:p>
    <w:p w14:paraId="10DC1FDD">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1）楼层及大厅：石材定期进行保养，1个月至少1次，人流量大的地方，1个星期做1次，石面无污渍、无磨损、有光亮度。</w:t>
      </w:r>
    </w:p>
    <w:p w14:paraId="37372E0B">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2）电梯：每日擦拭1次轿厢门、面板。不锈钢材料装饰的轿厢每月护理2次，石材装饰的轿厢每季度养护1次。</w:t>
      </w:r>
    </w:p>
    <w:p w14:paraId="1642AC92">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3）会议室：地毯清洁每月清洁1次、会议室1用1清洁。</w:t>
      </w:r>
    </w:p>
    <w:p w14:paraId="557AA1CE">
      <w:pPr>
        <w:pStyle w:val="8"/>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4）指定办公室：每日下班后清洁1次，地板每月保养1次。</w:t>
      </w:r>
    </w:p>
    <w:p w14:paraId="77D92BED">
      <w:pPr>
        <w:pStyle w:val="8"/>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5）教室：每天3次集中清洁，上午八点前，下午两点前、晚上下课后所有教室区域全面清洁完毕，并随时保洁；教室吊扇、灯具等每季度清洁1次。</w:t>
      </w:r>
    </w:p>
    <w:p w14:paraId="3E05DA50">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6）楼内栏杆：每天擦1次，保证无积尘、无污垢。</w:t>
      </w:r>
    </w:p>
    <w:p w14:paraId="201EE50B">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7）玻璃：会议室玻璃半月擦1次，楼道玻璃半月1次，指定办公室玻璃半月1次，卫生间玻璃半月1次，其他离地面2米以下玻璃每季度至少擦一次，表面无污迹无积尘。</w:t>
      </w:r>
    </w:p>
    <w:p w14:paraId="3E0FF706">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卫生间：办公楼地面每日清洁4次以上，镜面、洗手台、蹲便间半个小时循环保洁1次；教学楼每日清洁4次以上，镜面、洗手台、蹲便间1个小时循环保洁1次；卫生间擦手纸盒、卷纸盒、皂液盒需24小时供应擦手纸、卷纸、皂液。</w:t>
      </w:r>
    </w:p>
    <w:p w14:paraId="63DA14A4">
      <w:pPr>
        <w:spacing w:line="460" w:lineRule="exact"/>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9）消防器材：每月清洁一次，保持干净无尘土。</w:t>
      </w:r>
    </w:p>
    <w:p w14:paraId="24C4BF46">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10）垃圾桶：每天清理至少两次，保持表面无污迹、无痰迹、无垃圾外露。</w:t>
      </w:r>
    </w:p>
    <w:p w14:paraId="0BBAF3E0">
      <w:pPr>
        <w:spacing w:line="360" w:lineRule="auto"/>
        <w:ind w:firstLine="720" w:firstLineChars="3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11）平台、屋顶：每月至少清扫1次。雨季期间，每半月清扫1次；每月巡查2次天台、内天井。</w:t>
      </w:r>
    </w:p>
    <w:p w14:paraId="732BFC2A">
      <w:pPr>
        <w:spacing w:line="460" w:lineRule="exact"/>
        <w:ind w:firstLine="720" w:firstLineChars="3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12）喷水池：两月彻底清洗一次，水池无漂浮青苔、杂物，水池内无污垢。负责运行管理，按照采购人要求开关喷水池。</w:t>
      </w:r>
    </w:p>
    <w:p w14:paraId="7C56E1A9">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13）第二、第三办公楼停车场：每天清洁两次，保持地面无垃圾、杂物等。</w:t>
      </w:r>
    </w:p>
    <w:p w14:paraId="795260A7">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14）每天将管理范围内的垃圾分类并清运至学校垃圾场。</w:t>
      </w:r>
    </w:p>
    <w:p w14:paraId="53B2F333">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15）及时响应采购人各种突发性应急保障服务。</w:t>
      </w:r>
    </w:p>
    <w:p w14:paraId="4B1E1E0F">
      <w:pPr>
        <w:spacing w:line="46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16）定期进行有害生物防治工作。</w:t>
      </w:r>
    </w:p>
    <w:p w14:paraId="512DD7B1">
      <w:pPr>
        <w:spacing w:line="4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 xml:space="preserve"> 秩序维护服务</w:t>
      </w:r>
    </w:p>
    <w:p w14:paraId="5DEFE707">
      <w:pPr>
        <w:spacing w:line="360" w:lineRule="auto"/>
        <w:ind w:firstLine="48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.1 服务内容</w:t>
      </w:r>
    </w:p>
    <w:p w14:paraId="79E49704">
      <w:pPr>
        <w:wordWrap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负责管理区域的治安防范、财产安全、公共秩序管理及突发事件处理，包括巡逻管理、教室门开关管理、消防及监控室值守、楼栋值守、人员物资进出管控以及配合采购人活动的安全保障，突发事件处置，安全隐患排查等。</w:t>
      </w:r>
    </w:p>
    <w:p w14:paraId="4D31FA04">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.2 服务要求</w:t>
      </w:r>
    </w:p>
    <w:p w14:paraId="10A44221">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（1）建立秩序管理制度，实行24小时服务区安全巡查，重点部位应蹲点与巡查相结合。</w:t>
      </w:r>
    </w:p>
    <w:p w14:paraId="4E2B6AB5">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Theme="minorEastAsia" w:hAnsiTheme="minorEastAsia" w:cstheme="minorEastAsia"/>
          <w:sz w:val="24"/>
          <w:highlight w:val="none"/>
        </w:rPr>
        <w:t>建立安全巡查制度，定期进行巡查并做好记录，定期开展安全检查，排除不安全因素，发现违规行为及时制止，发现异常情况立即通知相关部门并在现场采取必要措施。巡查指定区域的消火栓、安全警示标志等涉及公共安全的设施设备，发现缺失、损坏或不能正常使用等情况，及时报告并记录。</w:t>
      </w:r>
    </w:p>
    <w:p w14:paraId="7E452137">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）秩序维护人员要熟悉学校及校园周边基本情况，积极做好治安秩序的维护，突发事件的应急处置主动遵守学校各项管理规定和相关管理部门的工作要求。</w:t>
      </w:r>
    </w:p>
    <w:p w14:paraId="0B8EE00D">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）门岗实行24小时值班制，严格对人员进出的管理，确保办公楼、教学楼各出入口畅通、安全、有序。</w:t>
      </w:r>
    </w:p>
    <w:p w14:paraId="293EB37A">
      <w:pPr>
        <w:spacing w:line="560" w:lineRule="exact"/>
        <w:ind w:right="80" w:firstLine="480" w:firstLineChars="200"/>
        <w:textAlignment w:val="baseline"/>
        <w:rPr>
          <w:rFonts w:asciiTheme="minorEastAsia" w:hAnsiTheme="minorEastAsia" w:cstheme="minorEastAsia"/>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Theme="minorEastAsia" w:hAnsiTheme="minorEastAsia" w:cstheme="minorEastAsia"/>
          <w:sz w:val="24"/>
          <w:highlight w:val="none"/>
        </w:rPr>
        <w:t>教室管理：按时开关门，保证正常教学活动。</w:t>
      </w:r>
    </w:p>
    <w:p w14:paraId="347E795B">
      <w:pPr>
        <w:spacing w:line="560" w:lineRule="exact"/>
        <w:ind w:right="80" w:firstLine="480" w:firstLineChars="200"/>
        <w:textAlignment w:val="baseline"/>
        <w:rPr>
          <w:rFonts w:asciiTheme="minorEastAsia" w:hAnsiTheme="minorEastAsia" w:cstheme="minorEastAsia"/>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）师生出入办公楼、教学楼各出入口高峰时段，应安排人员维护交通秩序，防止发生拥挤踩踏等伤害事故。</w:t>
      </w:r>
    </w:p>
    <w:p w14:paraId="68B2956C">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门岗应加强物品管控，对大件物品带出办公楼、教学楼做好登记审核管理工作；禁止任何人员将非教学、科研使用的易燃易爆物品、有毒有害物品、动物和管制器具等危险物品带入管辖区域。涉及教学、科研使用的易燃易爆物品、有毒有害物品、动物和管制器具等危险物品，需经相关部门同意，由专人带入。</w:t>
      </w:r>
    </w:p>
    <w:p w14:paraId="7217F13A">
      <w:pPr>
        <w:pStyle w:val="8"/>
        <w:spacing w:line="560" w:lineRule="exact"/>
        <w:ind w:firstLine="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）消防、安防监控中心配备专职人员持证上岗，保持安全监控设施设备24 小时运行，控制室24 小时值班，并做好值班记录。</w:t>
      </w:r>
      <w:bookmarkStart w:id="3" w:name="_Hlk101813267"/>
    </w:p>
    <w:bookmarkEnd w:id="3"/>
    <w:p w14:paraId="75B350B9">
      <w:pPr>
        <w:pStyle w:val="8"/>
        <w:spacing w:line="560" w:lineRule="exact"/>
        <w:ind w:firstLine="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）监控值班期间，保障电话（消防、电梯、治安等）畅通，接听及时。发生异常情况时，监控中心应联动处置，若为紧急情况，应立即启动相关应急预案。</w:t>
      </w:r>
    </w:p>
    <w:p w14:paraId="54940809">
      <w:pPr>
        <w:pStyle w:val="8"/>
        <w:spacing w:line="560" w:lineRule="exact"/>
        <w:ind w:firstLine="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）消防、安防监控中心设施设备应运转正常。</w:t>
      </w:r>
    </w:p>
    <w:p w14:paraId="56A25D90">
      <w:pPr>
        <w:pStyle w:val="8"/>
        <w:spacing w:line="560" w:lineRule="exact"/>
        <w:ind w:firstLine="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）监控的录入资料应至少留存 90 天备查，有特殊要求的参照相关规定或行业标准执行。对监控资料的查阅实行审批制度。</w:t>
      </w:r>
    </w:p>
    <w:p w14:paraId="2D4E3941">
      <w:pPr>
        <w:pStyle w:val="8"/>
        <w:spacing w:line="560" w:lineRule="exact"/>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）每日对教学、办公等场所进行安全巡视，重点关注消防与安全防范重点部位，重点区域、重点部位每 1小时巡查 1 次，其余区域每 3 小时巡查 1 次，巡查路线覆盖全部楼层。</w:t>
      </w:r>
      <w:r>
        <w:rPr>
          <w:rFonts w:hint="eastAsia" w:ascii="宋体" w:hAnsi="宋体"/>
          <w:b/>
          <w:bCs/>
          <w:color w:val="000000" w:themeColor="text1"/>
          <w:sz w:val="24"/>
          <w:highlight w:val="none"/>
          <w14:textFill>
            <w14:solidFill>
              <w14:schemeClr w14:val="tx1"/>
            </w14:solidFill>
          </w14:textFill>
        </w:rPr>
        <w:t>（提供承诺函）</w:t>
      </w:r>
    </w:p>
    <w:p w14:paraId="2C7AE55F">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）应接受学校安全管理部门的监督管理，完成其交办的临时任务。</w:t>
      </w:r>
      <w:bookmarkStart w:id="4" w:name="_Hlk101051049"/>
      <w:bookmarkStart w:id="5" w:name="_Hlk101761432"/>
    </w:p>
    <w:bookmarkEnd w:id="4"/>
    <w:bookmarkEnd w:id="5"/>
    <w:p w14:paraId="3BE5E28A">
      <w:pPr>
        <w:spacing w:line="560" w:lineRule="exact"/>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中标人需承诺因物业管理不善造成的安全事故，由中标人承担相应责任。</w:t>
      </w:r>
      <w:r>
        <w:rPr>
          <w:rFonts w:hint="eastAsia" w:ascii="宋体" w:hAnsi="宋体"/>
          <w:b/>
          <w:bCs/>
          <w:color w:val="000000" w:themeColor="text1"/>
          <w:sz w:val="24"/>
          <w:highlight w:val="none"/>
          <w14:textFill>
            <w14:solidFill>
              <w14:schemeClr w14:val="tx1"/>
            </w14:solidFill>
          </w14:textFill>
        </w:rPr>
        <w:t>（提供承诺函）</w:t>
      </w:r>
    </w:p>
    <w:p w14:paraId="69144B39">
      <w:pPr>
        <w:pStyle w:val="8"/>
        <w:spacing w:line="560" w:lineRule="exact"/>
        <w:ind w:firstLine="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配备并每天清理、检查各类秩序维护服务设备(须包含防爆头盔、塑胶棍、防刺背心、防刺手套、辣椒水、钢叉、对讲机等非杀伤性武器，并摆放在规定的位置。</w:t>
      </w:r>
    </w:p>
    <w:p w14:paraId="5EA43933">
      <w:pPr>
        <w:pStyle w:val="8"/>
        <w:spacing w:line="560" w:lineRule="exact"/>
        <w:ind w:firstLine="480" w:firstLineChars="200"/>
        <w:rPr>
          <w:color w:val="000000" w:themeColor="text1"/>
          <w:highlight w:val="none"/>
          <w14:textFill>
            <w14:solidFill>
              <w14:schemeClr w14:val="tx1"/>
            </w14:solidFill>
          </w14:textFill>
        </w:rPr>
      </w:pPr>
      <w:bookmarkStart w:id="6" w:name="OLE_LINK12"/>
      <w:bookmarkStart w:id="7" w:name="OLE_LINK11"/>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w:t>
      </w:r>
      <w:bookmarkEnd w:id="6"/>
      <w:bookmarkEnd w:id="7"/>
      <w:r>
        <w:rPr>
          <w:rFonts w:hint="eastAsia"/>
          <w:color w:val="000000" w:themeColor="text1"/>
          <w:sz w:val="24"/>
          <w:szCs w:val="24"/>
          <w:highlight w:val="none"/>
          <w14:textFill>
            <w14:solidFill>
              <w14:schemeClr w14:val="tx1"/>
            </w14:solidFill>
          </w14:textFill>
        </w:rPr>
        <w:t>中标人应按照安全秩序管理服务内容、服务要求、服务标准开展本项目安全秩序管理服务工作，提供安全秩序管理服务方案，方案包括不限于人员配置及职责，第五、第六教秩序维护方案，疫情防控期间门岗管理方案，第一、第二、第三办公楼秩序维护方案，夜间清场方案，消防安全管理方案，重大活动秩序保障方案等。</w:t>
      </w:r>
    </w:p>
    <w:p w14:paraId="0D0002B1">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.3 服务标准</w:t>
      </w:r>
    </w:p>
    <w:p w14:paraId="56195224">
      <w:pPr>
        <w:pStyle w:val="59"/>
        <w:numPr>
          <w:ilvl w:val="0"/>
          <w:numId w:val="2"/>
        </w:numPr>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楼栋值守及巡查管理</w:t>
      </w:r>
    </w:p>
    <w:p w14:paraId="7048C094">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1）礼仪岗：第一办公楼主门岗、二楼门岗每天早上上班及下午下班实行礼仪岗；教学楼每天早上上课时间实行礼仪岗。站岗时应保持良好的站立形象，不得从事与岗位无关的事情。</w:t>
      </w:r>
    </w:p>
    <w:p w14:paraId="2D0EDC6A">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2）执行24小时值班：第一办公楼主大门、教学楼A. B. C. D区实行24小时值守。对外来人员进行验证、登记，发现疑点及时询问，防止闲杂人员进入；对物品进出实施分类记录，大宗物品进出应进行审验，严防危险物品进入。</w:t>
      </w:r>
    </w:p>
    <w:p w14:paraId="5D6BC677">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3）巡查：每日对教学、办公等场所进行安全巡视，重点关注消防与安全防范重点部位，重点区域、重点部位每1小时巡查1次，其余区域每3小时巡查1次，巡查路线覆盖全部楼层。</w:t>
      </w:r>
    </w:p>
    <w:p w14:paraId="0AEA6169">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4）做好管理区域内学生管理，依照法律法规和学校规章，文明、妥善纠正、制止学生违法违纪行为，并及时向学校相关部门报告。</w:t>
      </w:r>
    </w:p>
    <w:p w14:paraId="1029D254">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5）阻止管理区域内推销、发传单、违规使用教室的行为。</w:t>
      </w:r>
    </w:p>
    <w:p w14:paraId="02CB3AC7">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6）教室门开关管理：根据学校要求，每天7点30前打开所有教室门窗；每晚11点前关闭所有教室门窗，并对教室内多媒体设备、教室灯具、电扇、空调等进行检查，并关闭电源。</w:t>
      </w:r>
    </w:p>
    <w:p w14:paraId="4B6DC817">
      <w:pPr>
        <w:wordWrap w:val="0"/>
        <w:spacing w:line="560" w:lineRule="exact"/>
        <w:ind w:right="62"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）夜间清场管理：有清场管理制度，在规定的时间内在教学区域、办公楼等实行清场，对加班人员进行登记，在项目服务方案中提供清场管理制度。</w:t>
      </w:r>
    </w:p>
    <w:p w14:paraId="2305BA3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（2）消防控制室及监控室值守</w:t>
      </w:r>
    </w:p>
    <w:p w14:paraId="4939488F">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1）对消防控制室及监控室执行24小时轮流值守，认真做好监控设备设施的安全，杜绝被盗、人为损坏等事件的发生。</w:t>
      </w:r>
    </w:p>
    <w:p w14:paraId="742B6F37">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2）监控人员应熟悉学校情况，熟悉监控及消防系统，保证对安全出入口、内部重点区域的安全监控，保持完整记录。</w:t>
      </w:r>
    </w:p>
    <w:p w14:paraId="2DF5DCF5">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3）及时发现事件、事故苗头、不安全因素等情况，并通知相关值守和巡逻人员前往现场甄别、处置。</w:t>
      </w:r>
    </w:p>
    <w:p w14:paraId="01423748">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4）保持监控资料、消防资料完整；保持电话畅通，接听及时。</w:t>
      </w:r>
    </w:p>
    <w:p w14:paraId="14A834B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（3）其他服务</w:t>
      </w:r>
    </w:p>
    <w:p w14:paraId="4C4A45D3">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1）消防安全协助管理。建立消防安全责任制；对楼内设置的消防设施、消防通道、疏散示意图等消防设施设备进行定期巡视、检查，发现问题和隐患及时上报相关部门。</w:t>
      </w:r>
    </w:p>
    <w:p w14:paraId="1179F237">
      <w:pPr>
        <w:spacing w:line="360" w:lineRule="auto"/>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2）安全预防及突发事件处置。对火灾、治安、公共卫生等突发事件有应急预案，事发时及时报告学校和有关部门，并协助采取相应措施。</w:t>
      </w:r>
    </w:p>
    <w:p w14:paraId="09FAFD27">
      <w:pPr>
        <w:spacing w:line="360" w:lineRule="auto"/>
        <w:ind w:firstLine="720" w:firstLineChars="300"/>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3）负责服务区内防盗工作，维护公私财物、设备设施安全，防范被盗、损坏事件发生。由于管理不到位导致学校公共财产损失的，由中标人承担相应损失。</w:t>
      </w:r>
      <w:r>
        <w:rPr>
          <w:rFonts w:hint="eastAsia" w:ascii="宋体" w:hAnsi="宋体"/>
          <w:b/>
          <w:bCs/>
          <w:color w:val="000000" w:themeColor="text1"/>
          <w:sz w:val="24"/>
          <w:highlight w:val="none"/>
          <w14:textFill>
            <w14:solidFill>
              <w14:schemeClr w14:val="tx1"/>
            </w14:solidFill>
          </w14:textFill>
        </w:rPr>
        <w:t>（提供承诺函）</w:t>
      </w:r>
    </w:p>
    <w:p w14:paraId="06548A67">
      <w:pPr>
        <w:spacing w:line="360" w:lineRule="auto"/>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4）针对大型考试、活动、会议接待，根据学校相关要求进行会场的布置、桌椅搬抬等工作。</w:t>
      </w:r>
    </w:p>
    <w:p w14:paraId="47970FBA">
      <w:pPr>
        <w:spacing w:line="360" w:lineRule="auto"/>
        <w:ind w:firstLine="720" w:firstLineChars="300"/>
        <w:jc w:val="left"/>
        <w:rPr>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消防、安防监控中心配备专职人员持证上岗，保持安全监控设施设备24 小时运行，控制室24 小时值班，并做好值班记录。</w:t>
      </w:r>
    </w:p>
    <w:p w14:paraId="2241337D">
      <w:pPr>
        <w:pStyle w:val="59"/>
        <w:spacing w:line="460" w:lineRule="exact"/>
        <w:ind w:firstLine="48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 xml:space="preserve"> 客服接待服务</w:t>
      </w:r>
    </w:p>
    <w:p w14:paraId="612B1782">
      <w:pPr>
        <w:spacing w:line="360" w:lineRule="auto"/>
        <w:ind w:firstLine="482" w:firstLineChars="200"/>
        <w:rPr>
          <w:rFonts w:ascii="宋体" w:hAnsi="宋体"/>
          <w:b/>
          <w:color w:val="000000" w:themeColor="text1"/>
          <w:szCs w:val="21"/>
          <w:highlight w:val="none"/>
          <w14:textFill>
            <w14:solidFill>
              <w14:schemeClr w14:val="tx1"/>
            </w14:solidFill>
          </w14:textFill>
        </w:rPr>
      </w:pPr>
      <w:bookmarkStart w:id="8" w:name="OLE_LINK13"/>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 xml:space="preserve">.1 </w:t>
      </w:r>
      <w:bookmarkEnd w:id="8"/>
      <w:r>
        <w:rPr>
          <w:rFonts w:hint="eastAsia" w:ascii="宋体" w:hAnsi="宋体"/>
          <w:b/>
          <w:color w:val="000000" w:themeColor="text1"/>
          <w:sz w:val="24"/>
          <w:szCs w:val="24"/>
          <w:highlight w:val="none"/>
          <w14:textFill>
            <w14:solidFill>
              <w14:schemeClr w14:val="tx1"/>
            </w14:solidFill>
          </w14:textFill>
        </w:rPr>
        <w:t>服务内容</w:t>
      </w:r>
    </w:p>
    <w:p w14:paraId="159BB904">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14:textFill>
            <w14:solidFill>
              <w14:schemeClr w14:val="tx1"/>
            </w14:solidFill>
          </w14:textFill>
        </w:rPr>
        <w:t>第一办公楼、第二办公楼、第三办公楼</w:t>
      </w:r>
      <w:r>
        <w:rPr>
          <w:rFonts w:ascii="宋体" w:hAnsi="宋体"/>
          <w:color w:val="000000" w:themeColor="text1"/>
          <w:sz w:val="24"/>
          <w:highlight w:val="none"/>
          <w14:textFill>
            <w14:solidFill>
              <w14:schemeClr w14:val="tx1"/>
            </w14:solidFill>
          </w14:textFill>
        </w:rPr>
        <w:t>公共会议室(各部门会议室除外)提供客服接待、会议服务，</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按照采购人要求负责协助完成会议服务</w:t>
      </w:r>
      <w:r>
        <w:rPr>
          <w:rFonts w:hint="eastAsia" w:ascii="宋体" w:hAnsi="宋体"/>
          <w:color w:val="000000" w:themeColor="text1"/>
          <w:sz w:val="24"/>
          <w:highlight w:val="none"/>
          <w14:textFill>
            <w14:solidFill>
              <w14:schemeClr w14:val="tx1"/>
            </w14:solidFill>
          </w14:textFill>
        </w:rPr>
        <w:t>；对第五、六教学楼提供客服接待。</w:t>
      </w:r>
    </w:p>
    <w:p w14:paraId="0DACD0B6">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服务要求</w:t>
      </w:r>
    </w:p>
    <w:p w14:paraId="000574BA">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负责来访人员的接待、场地指引和服务工作</w:t>
      </w:r>
      <w:r>
        <w:rPr>
          <w:rFonts w:hint="eastAsia" w:ascii="宋体" w:hAnsi="宋体" w:eastAsia="宋体" w:cs="宋体"/>
          <w:sz w:val="24"/>
          <w:highlight w:val="none"/>
        </w:rPr>
        <w:t>；</w:t>
      </w:r>
    </w:p>
    <w:p w14:paraId="75BD64AA">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负责报事报修及投诉的处理工作；</w:t>
      </w:r>
    </w:p>
    <w:p w14:paraId="07209042">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负责教室的安排和协调工作</w:t>
      </w:r>
      <w:r>
        <w:rPr>
          <w:rFonts w:hint="eastAsia" w:ascii="宋体" w:hAnsi="宋体" w:eastAsia="宋体" w:cs="宋体"/>
          <w:sz w:val="24"/>
          <w:highlight w:val="none"/>
        </w:rPr>
        <w:t>；</w:t>
      </w:r>
    </w:p>
    <w:p w14:paraId="0C1D340C">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负责</w:t>
      </w:r>
      <w:r>
        <w:rPr>
          <w:rFonts w:hint="eastAsia" w:ascii="宋体" w:hAnsi="宋体" w:eastAsia="宋体" w:cs="宋体"/>
          <w:sz w:val="24"/>
          <w:highlight w:val="none"/>
        </w:rPr>
        <w:t>第一办公楼、第三办公楼</w:t>
      </w:r>
      <w:r>
        <w:rPr>
          <w:rFonts w:ascii="宋体" w:hAnsi="宋体" w:eastAsia="宋体" w:cs="宋体"/>
          <w:sz w:val="24"/>
          <w:highlight w:val="none"/>
        </w:rPr>
        <w:t>邮件、报刊收发(报纸需发放到各办公室)工作</w:t>
      </w:r>
      <w:r>
        <w:rPr>
          <w:rFonts w:hint="eastAsia" w:ascii="宋体" w:hAnsi="宋体" w:eastAsia="宋体" w:cs="宋体"/>
          <w:sz w:val="24"/>
          <w:highlight w:val="none"/>
        </w:rPr>
        <w:t>；</w:t>
      </w:r>
    </w:p>
    <w:p w14:paraId="6593ACBE">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负责意见的征询、收集工作</w:t>
      </w:r>
      <w:r>
        <w:rPr>
          <w:rFonts w:hint="eastAsia" w:ascii="宋体" w:hAnsi="宋体" w:eastAsia="宋体" w:cs="宋体"/>
          <w:sz w:val="24"/>
          <w:highlight w:val="none"/>
        </w:rPr>
        <w:t>；</w:t>
      </w:r>
    </w:p>
    <w:p w14:paraId="0C784CD7">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负责</w:t>
      </w:r>
      <w:r>
        <w:rPr>
          <w:rFonts w:hint="eastAsia" w:ascii="宋体" w:hAnsi="宋体" w:eastAsia="宋体" w:cs="宋体"/>
          <w:sz w:val="24"/>
          <w:highlight w:val="none"/>
        </w:rPr>
        <w:t>第一办公楼、第三办公楼</w:t>
      </w:r>
      <w:r>
        <w:rPr>
          <w:rFonts w:ascii="宋体" w:hAnsi="宋体" w:eastAsia="宋体" w:cs="宋体"/>
          <w:sz w:val="24"/>
          <w:highlight w:val="none"/>
        </w:rPr>
        <w:t>会议服务工作</w:t>
      </w:r>
      <w:r>
        <w:rPr>
          <w:rFonts w:hint="eastAsia" w:ascii="宋体" w:hAnsi="宋体" w:eastAsia="宋体" w:cs="宋体"/>
          <w:sz w:val="24"/>
          <w:highlight w:val="none"/>
        </w:rPr>
        <w:t>。</w:t>
      </w:r>
      <w:r>
        <w:rPr>
          <w:rFonts w:ascii="宋体" w:hAnsi="宋体" w:eastAsia="宋体" w:cs="宋体"/>
          <w:sz w:val="24"/>
          <w:highlight w:val="none"/>
        </w:rPr>
        <w:t>主要包括会议室前准备、会中的引领蓄水服务、会后整理工作。</w:t>
      </w:r>
      <w:r>
        <w:rPr>
          <w:rFonts w:hint="eastAsia" w:ascii="宋体" w:hAnsi="宋体"/>
          <w:bCs/>
          <w:color w:val="000000" w:themeColor="text1"/>
          <w:sz w:val="24"/>
          <w:highlight w:val="none"/>
          <w14:textFill>
            <w14:solidFill>
              <w14:schemeClr w14:val="tx1"/>
            </w14:solidFill>
          </w14:textFill>
        </w:rPr>
        <w:t>根据会议主办方要求进行会场布置，提供高质量的各项会议会务服务，按照会议的规格配置相应的物品，根据会议主办方要求做好会场布置、文件分装、席卡摆放、空调调节、茶水、纸巾等服务（相关会议用品由采购人提供）。</w:t>
      </w:r>
    </w:p>
    <w:p w14:paraId="73D67B1F">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会议服务人员形象气质佳，限女性，身高160cm以上。</w:t>
      </w:r>
    </w:p>
    <w:p w14:paraId="63CEA109">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会议服务人员要求：</w:t>
      </w:r>
      <w:r>
        <w:rPr>
          <w:rFonts w:ascii="宋体" w:hAnsi="宋体" w:eastAsia="宋体" w:cs="宋体"/>
          <w:sz w:val="24"/>
          <w:highlight w:val="none"/>
        </w:rPr>
        <w:t>具备</w:t>
      </w:r>
      <w:r>
        <w:rPr>
          <w:rFonts w:hint="eastAsia" w:ascii="宋体" w:hAnsi="宋体" w:eastAsia="宋体" w:cs="宋体"/>
          <w:sz w:val="24"/>
          <w:highlight w:val="none"/>
        </w:rPr>
        <w:t>从事</w:t>
      </w:r>
      <w:r>
        <w:rPr>
          <w:rFonts w:ascii="宋体" w:hAnsi="宋体" w:eastAsia="宋体" w:cs="宋体"/>
          <w:sz w:val="24"/>
          <w:highlight w:val="none"/>
        </w:rPr>
        <w:t>会务服务</w:t>
      </w:r>
      <w:r>
        <w:rPr>
          <w:rFonts w:hint="eastAsia" w:ascii="宋体" w:hAnsi="宋体" w:eastAsia="宋体" w:cs="宋体"/>
          <w:sz w:val="24"/>
          <w:highlight w:val="none"/>
        </w:rPr>
        <w:t>的从业资格；</w:t>
      </w:r>
      <w:r>
        <w:rPr>
          <w:rFonts w:ascii="宋体" w:hAnsi="宋体" w:eastAsia="宋体" w:cs="宋体"/>
          <w:sz w:val="24"/>
          <w:highlight w:val="none"/>
        </w:rPr>
        <w:t>具备</w:t>
      </w:r>
      <w:r>
        <w:rPr>
          <w:rFonts w:hint="eastAsia" w:ascii="宋体" w:hAnsi="宋体" w:eastAsia="宋体" w:cs="宋体"/>
          <w:sz w:val="24"/>
          <w:highlight w:val="none"/>
        </w:rPr>
        <w:t>从事</w:t>
      </w:r>
      <w:r>
        <w:rPr>
          <w:rFonts w:ascii="宋体" w:hAnsi="宋体" w:eastAsia="宋体" w:cs="宋体"/>
          <w:sz w:val="24"/>
          <w:highlight w:val="none"/>
        </w:rPr>
        <w:t>会务服务、酒店管理或相关</w:t>
      </w:r>
      <w:r>
        <w:rPr>
          <w:rFonts w:hint="eastAsia" w:ascii="宋体" w:hAnsi="宋体" w:eastAsia="宋体" w:cs="宋体"/>
          <w:sz w:val="24"/>
          <w:highlight w:val="none"/>
        </w:rPr>
        <w:t>行业的经历</w:t>
      </w:r>
      <w:r>
        <w:rPr>
          <w:rFonts w:ascii="宋体" w:hAnsi="宋体" w:eastAsia="宋体" w:cs="宋体"/>
          <w:sz w:val="24"/>
          <w:highlight w:val="none"/>
        </w:rPr>
        <w:t>。</w:t>
      </w:r>
    </w:p>
    <w:p w14:paraId="34F19E11">
      <w:pPr>
        <w:wordWrap w:val="0"/>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会议服务人员</w:t>
      </w:r>
      <w:r>
        <w:rPr>
          <w:rFonts w:ascii="宋体" w:hAnsi="宋体" w:eastAsia="宋体" w:cs="宋体"/>
          <w:sz w:val="24"/>
          <w:highlight w:val="none"/>
        </w:rPr>
        <w:t>职业素养</w:t>
      </w:r>
      <w:r>
        <w:rPr>
          <w:rFonts w:hint="eastAsia" w:ascii="宋体" w:hAnsi="宋体" w:eastAsia="宋体" w:cs="宋体"/>
          <w:sz w:val="24"/>
          <w:highlight w:val="none"/>
        </w:rPr>
        <w:t>要求：</w:t>
      </w:r>
    </w:p>
    <w:p w14:paraId="2C0A9322">
      <w:pPr>
        <w:wordWrap w:val="0"/>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着装统一整洁</w:t>
      </w:r>
      <w:r>
        <w:rPr>
          <w:rFonts w:hint="eastAsia" w:ascii="宋体" w:hAnsi="宋体" w:eastAsia="宋体" w:cs="宋体"/>
          <w:sz w:val="24"/>
          <w:highlight w:val="none"/>
        </w:rPr>
        <w:t>得体</w:t>
      </w:r>
      <w:r>
        <w:rPr>
          <w:rFonts w:ascii="宋体" w:hAnsi="宋体" w:eastAsia="宋体" w:cs="宋体"/>
          <w:sz w:val="24"/>
          <w:highlight w:val="none"/>
        </w:rPr>
        <w:t>，</w:t>
      </w:r>
      <w:r>
        <w:rPr>
          <w:rFonts w:hint="eastAsia" w:ascii="宋体" w:hAnsi="宋体" w:eastAsia="宋体" w:cs="宋体"/>
          <w:sz w:val="24"/>
          <w:highlight w:val="none"/>
        </w:rPr>
        <w:t>举止大方，</w:t>
      </w:r>
      <w:r>
        <w:rPr>
          <w:rFonts w:ascii="宋体" w:hAnsi="宋体" w:eastAsia="宋体" w:cs="宋体"/>
          <w:sz w:val="24"/>
          <w:highlight w:val="none"/>
        </w:rPr>
        <w:t>佩戴工牌，</w:t>
      </w:r>
      <w:r>
        <w:rPr>
          <w:rFonts w:hint="eastAsia" w:ascii="宋体" w:hAnsi="宋体" w:eastAsia="宋体" w:cs="宋体"/>
          <w:sz w:val="24"/>
          <w:highlight w:val="none"/>
        </w:rPr>
        <w:t>保持礼貌、耐心和热情，</w:t>
      </w:r>
      <w:r>
        <w:rPr>
          <w:rFonts w:ascii="宋体" w:hAnsi="宋体" w:eastAsia="宋体" w:cs="宋体"/>
          <w:sz w:val="24"/>
          <w:highlight w:val="none"/>
        </w:rPr>
        <w:t>仪容仪表符合高校文化氛围</w:t>
      </w:r>
      <w:r>
        <w:rPr>
          <w:rFonts w:hint="eastAsia" w:ascii="宋体" w:hAnsi="宋体" w:eastAsia="宋体" w:cs="宋体"/>
          <w:sz w:val="24"/>
          <w:highlight w:val="none"/>
        </w:rPr>
        <w:t>；具备出色的沟通协调能力，包括：</w:t>
      </w:r>
      <w:r>
        <w:rPr>
          <w:rFonts w:ascii="宋体" w:hAnsi="宋体" w:eastAsia="宋体" w:cs="宋体"/>
          <w:sz w:val="24"/>
          <w:highlight w:val="none"/>
        </w:rPr>
        <w:t>服务态度亲和，语言表达清晰，</w:t>
      </w:r>
      <w:r>
        <w:rPr>
          <w:rFonts w:hint="eastAsia" w:ascii="宋体" w:hAnsi="宋体" w:eastAsia="宋体" w:cs="宋体"/>
          <w:sz w:val="24"/>
          <w:highlight w:val="none"/>
        </w:rPr>
        <w:t>能准确地传达、记录会议信息，包括会议时间、地点等；与会议组织单位保持有效沟通，了解他们的需求并及时提供帮助；具备良好的沟通协调</w:t>
      </w:r>
      <w:r>
        <w:rPr>
          <w:rFonts w:ascii="宋体" w:hAnsi="宋体" w:eastAsia="宋体" w:cs="宋体"/>
          <w:sz w:val="24"/>
          <w:highlight w:val="none"/>
        </w:rPr>
        <w:t>能力</w:t>
      </w:r>
      <w:r>
        <w:rPr>
          <w:rFonts w:hint="eastAsia" w:ascii="宋体" w:hAnsi="宋体" w:eastAsia="宋体" w:cs="宋体"/>
          <w:sz w:val="24"/>
          <w:highlight w:val="none"/>
        </w:rPr>
        <w:t>，配合学校相关单位做好会议室管理。</w:t>
      </w:r>
    </w:p>
    <w:p w14:paraId="05276B8F">
      <w:pPr>
        <w:wordWrap w:val="0"/>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具备专业的会议服务技能，包括：熟练掌握会议室的设备操作，如投影仪、音响系统、视频会议设备等，并能在需要时快速解决技术问题；熟悉会议布置和座位安排，确保会议室的布局符合会议需求；精通会议流程管理，能配合学校做好会议签到、资料分发等工作。</w:t>
      </w:r>
    </w:p>
    <w:p w14:paraId="3E44A847">
      <w:pPr>
        <w:wordWrap w:val="0"/>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具备良好的应变能力，在会议室出现突发情况时，能够灵活应对各种不可预见的情况，如设备故障等，迅速与学校相关单位沟通，调整会议安排，确保会议不受影响。</w:t>
      </w:r>
    </w:p>
    <w:p w14:paraId="42700C7B">
      <w:pPr>
        <w:wordWrap w:val="0"/>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具备良好的服务意识，为参会者提供周到的服务。工作细致，能关注会议中的细节，如会议室的清洁、温度、光线等，确保参会者的舒适度。</w:t>
      </w:r>
    </w:p>
    <w:p w14:paraId="2B6B072E">
      <w:pPr>
        <w:wordWrap w:val="0"/>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能持续不断学习与自我提升，不断学习新的会议服务知识和技能，以适应不断变化的会议需求。关注行业动态，了解最新的会议设备和技术，提升自己的专业水平。</w:t>
      </w:r>
    </w:p>
    <w:p w14:paraId="7E867ED7">
      <w:pPr>
        <w:spacing w:line="560" w:lineRule="exact"/>
        <w:ind w:right="79"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严格遵守保密制度，禁止泄露会议内容及参会人员信息。</w:t>
      </w:r>
    </w:p>
    <w:p w14:paraId="60037095">
      <w:pPr>
        <w:spacing w:line="560" w:lineRule="exact"/>
        <w:ind w:right="79" w:firstLine="480" w:firstLineChars="200"/>
        <w:textAlignment w:val="baseline"/>
        <w:rPr>
          <w:rFonts w:ascii="宋体" w:hAnsi="宋体" w:eastAsia="宋体" w:cs="宋体"/>
          <w:sz w:val="24"/>
          <w:highlight w:val="none"/>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会议服务人员培训及考核要求：</w:t>
      </w:r>
    </w:p>
    <w:p w14:paraId="6CA69AE2">
      <w:pPr>
        <w:wordWrap w:val="0"/>
        <w:spacing w:line="560" w:lineRule="exact"/>
        <w:ind w:right="79" w:firstLine="480" w:firstLineChars="200"/>
        <w:textAlignment w:val="baseline"/>
        <w:rPr>
          <w:rFonts w:ascii="宋体" w:hAnsi="宋体"/>
          <w:color w:val="000000" w:themeColor="text1"/>
          <w:sz w:val="24"/>
          <w:highlight w:val="none"/>
          <w14:textFill>
            <w14:solidFill>
              <w14:schemeClr w14:val="tx1"/>
            </w14:solidFill>
          </w14:textFill>
        </w:rPr>
      </w:pPr>
      <w:bookmarkStart w:id="9" w:name="OLE_LINK15"/>
      <w:bookmarkStart w:id="10" w:name="OLE_LINK14"/>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bookmarkEnd w:id="9"/>
      <w:bookmarkEnd w:id="10"/>
      <w:r>
        <w:rPr>
          <w:rFonts w:hint="eastAsia" w:ascii="宋体" w:hAnsi="宋体"/>
          <w:color w:val="000000" w:themeColor="text1"/>
          <w:sz w:val="24"/>
          <w:highlight w:val="none"/>
          <w14:textFill>
            <w14:solidFill>
              <w14:schemeClr w14:val="tx1"/>
            </w14:solidFill>
          </w14:textFill>
        </w:rPr>
        <w:t>培训内容包含学校情况、</w:t>
      </w:r>
      <w:r>
        <w:rPr>
          <w:rFonts w:ascii="宋体" w:hAnsi="宋体"/>
          <w:color w:val="000000" w:themeColor="text1"/>
          <w:sz w:val="24"/>
          <w:highlight w:val="none"/>
          <w14:textFill>
            <w14:solidFill>
              <w14:schemeClr w14:val="tx1"/>
            </w14:solidFill>
          </w14:textFill>
        </w:rPr>
        <w:t xml:space="preserve">服务规范、设备操作、应急处理等内容，培训时长≥16小时。  </w:t>
      </w:r>
    </w:p>
    <w:p w14:paraId="3C451080">
      <w:pPr>
        <w:wordWrap w:val="0"/>
        <w:spacing w:line="560" w:lineRule="exact"/>
        <w:ind w:right="79"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年度考核：每半年进行一次服务技能复训及考核，不合格者暂停上岗。</w:t>
      </w:r>
    </w:p>
    <w:p w14:paraId="25F13631">
      <w:pPr>
        <w:wordWrap w:val="0"/>
        <w:spacing w:line="560" w:lineRule="exact"/>
        <w:ind w:right="79" w:firstLine="480" w:firstLineChars="200"/>
        <w:textAlignment w:val="baseline"/>
        <w:rPr>
          <w:rFonts w:ascii="宋体" w:hAnsi="宋体"/>
          <w:sz w:val="24"/>
          <w:highlight w:val="none"/>
        </w:rPr>
      </w:pPr>
      <w:r>
        <w:rPr>
          <w:rFonts w:ascii="宋体" w:hAnsi="宋体"/>
          <w:sz w:val="24"/>
          <w:highlight w:val="none"/>
        </w:rPr>
        <w:t>3</w:t>
      </w:r>
      <w:r>
        <w:rPr>
          <w:rFonts w:hint="eastAsia" w:ascii="宋体" w:hAnsi="宋体"/>
          <w:sz w:val="24"/>
          <w:highlight w:val="none"/>
        </w:rPr>
        <w:t>）采购人</w:t>
      </w:r>
      <w:r>
        <w:rPr>
          <w:rFonts w:ascii="宋体" w:hAnsi="宋体"/>
          <w:sz w:val="24"/>
          <w:highlight w:val="none"/>
        </w:rPr>
        <w:t>每月对服务商进行满意度评分（≥92分为达标），未达标项需24小时内整改。</w:t>
      </w:r>
    </w:p>
    <w:p w14:paraId="523C7899">
      <w:pPr>
        <w:wordWrap w:val="0"/>
        <w:spacing w:line="560" w:lineRule="exact"/>
        <w:ind w:right="79"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）建立服务档案，记录设备维护、投诉处理及培训考核结果。</w:t>
      </w:r>
    </w:p>
    <w:p w14:paraId="1114BE6D">
      <w:pPr>
        <w:wordWrap w:val="0"/>
        <w:spacing w:line="560" w:lineRule="exact"/>
        <w:ind w:right="79"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）中标人应按照客服接待服务服务内容、服务要求、服务标准开展本项目客服接待服务工作，提供客服接待服务服务方案，方案应包含不限于人员配置及职责、管理制度、考核办法、会务服务方案等。</w:t>
      </w:r>
    </w:p>
    <w:p w14:paraId="0C25CA96">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.3 服务标准</w:t>
      </w:r>
    </w:p>
    <w:p w14:paraId="56838D1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（1）第一办公楼</w:t>
      </w:r>
      <w:r>
        <w:rPr>
          <w:rFonts w:ascii="宋体" w:hAnsi="宋体" w:eastAsia="宋体" w:cs="宋体"/>
          <w:sz w:val="24"/>
          <w:highlight w:val="none"/>
        </w:rPr>
        <w:t>主门岗每天上下班进行客服礼仪岗服务，服务做到标准、亲切、礼貌、专业。</w:t>
      </w:r>
    </w:p>
    <w:p w14:paraId="47AA76F6">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每天对报事报修事项进行跟进、处理以及回访。</w:t>
      </w:r>
    </w:p>
    <w:p w14:paraId="2E2F7F11">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（3）</w:t>
      </w:r>
      <w:r>
        <w:rPr>
          <w:rFonts w:ascii="宋体" w:hAnsi="宋体" w:eastAsia="宋体" w:cs="宋体"/>
          <w:sz w:val="24"/>
          <w:highlight w:val="none"/>
        </w:rPr>
        <w:t>对各科室的报刊、杂志进行发放工作。</w:t>
      </w:r>
    </w:p>
    <w:p w14:paraId="03D2BCF6">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（4）</w:t>
      </w:r>
      <w:r>
        <w:rPr>
          <w:rFonts w:ascii="宋体" w:hAnsi="宋体" w:eastAsia="宋体" w:cs="宋体"/>
          <w:sz w:val="24"/>
          <w:highlight w:val="none"/>
        </w:rPr>
        <w:t>根据采购人要求，每年定期与不定期进行师生满意度的收集。</w:t>
      </w:r>
    </w:p>
    <w:p w14:paraId="71F34E42">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（5）</w:t>
      </w:r>
      <w:r>
        <w:rPr>
          <w:rFonts w:ascii="宋体" w:hAnsi="宋体" w:eastAsia="宋体" w:cs="宋体"/>
          <w:sz w:val="24"/>
          <w:highlight w:val="none"/>
        </w:rPr>
        <w:t>每天配合教务处进行教室安排及教室协调，并及时反馈相应情况。</w:t>
      </w:r>
    </w:p>
    <w:p w14:paraId="300B1406">
      <w:pPr>
        <w:adjustRightInd w:val="0"/>
        <w:spacing w:line="560" w:lineRule="exact"/>
        <w:ind w:firstLine="480" w:firstLineChars="200"/>
        <w:textAlignment w:val="baseline"/>
        <w:rPr>
          <w:rFonts w:ascii="宋体" w:hAnsi="宋体" w:eastAsia="宋体" w:cs="宋体"/>
          <w:sz w:val="24"/>
          <w:highlight w:val="none"/>
        </w:rPr>
      </w:pPr>
      <w:bookmarkStart w:id="11" w:name="OLE_LINK16"/>
      <w:bookmarkStart w:id="12" w:name="OLE_LINK17"/>
      <w:r>
        <w:rPr>
          <w:rFonts w:hint="eastAsia" w:ascii="宋体" w:hAnsi="宋体" w:eastAsia="宋体" w:cs="宋体"/>
          <w:sz w:val="24"/>
          <w:highlight w:val="none"/>
        </w:rPr>
        <w:t>（6）</w:t>
      </w:r>
      <w:bookmarkEnd w:id="11"/>
      <w:bookmarkEnd w:id="12"/>
      <w:r>
        <w:rPr>
          <w:rFonts w:ascii="宋体" w:hAnsi="宋体" w:eastAsia="宋体" w:cs="宋体"/>
          <w:sz w:val="24"/>
          <w:highlight w:val="none"/>
        </w:rPr>
        <w:t xml:space="preserve">会议室布置标准  </w:t>
      </w:r>
    </w:p>
    <w:p w14:paraId="6F64B8FB">
      <w:pPr>
        <w:adjustRightInd w:val="0"/>
        <w:spacing w:line="560" w:lineRule="exact"/>
        <w:ind w:firstLine="480" w:firstLineChars="200"/>
        <w:textAlignment w:val="baseline"/>
        <w:rPr>
          <w:rFonts w:ascii="宋体" w:hAnsi="宋体" w:eastAsia="宋体" w:cs="宋体"/>
          <w:sz w:val="24"/>
          <w:highlight w:val="none"/>
        </w:rPr>
      </w:pPr>
      <w:bookmarkStart w:id="13" w:name="OLE_LINK5"/>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bookmarkEnd w:id="13"/>
      <w:r>
        <w:rPr>
          <w:rFonts w:ascii="宋体" w:hAnsi="宋体" w:eastAsia="宋体" w:cs="宋体"/>
          <w:sz w:val="24"/>
          <w:highlight w:val="none"/>
        </w:rPr>
        <w:t xml:space="preserve">桌椅摆放根据会议类型调整（课桌式、U型等），通道宽度≥1.2米，确保无障碍通行。  </w:t>
      </w:r>
    </w:p>
    <w:p w14:paraId="59ED3AED">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座位牌</w:t>
      </w:r>
      <w:r>
        <w:rPr>
          <w:rFonts w:ascii="宋体" w:hAnsi="宋体" w:eastAsia="宋体" w:cs="宋体"/>
          <w:sz w:val="24"/>
          <w:highlight w:val="none"/>
        </w:rPr>
        <w:t>、资料、文具</w:t>
      </w:r>
      <w:r>
        <w:rPr>
          <w:rFonts w:hint="eastAsia" w:ascii="宋体" w:hAnsi="宋体" w:eastAsia="宋体" w:cs="宋体"/>
          <w:sz w:val="24"/>
          <w:highlight w:val="none"/>
        </w:rPr>
        <w:t>等会议用品按照学校要求</w:t>
      </w:r>
      <w:r>
        <w:rPr>
          <w:rFonts w:ascii="宋体" w:hAnsi="宋体" w:eastAsia="宋体" w:cs="宋体"/>
          <w:sz w:val="24"/>
          <w:highlight w:val="none"/>
        </w:rPr>
        <w:t>摆放整齐，误差≤1厘米；茶水杯具</w:t>
      </w:r>
      <w:r>
        <w:rPr>
          <w:rFonts w:hint="eastAsia" w:ascii="宋体" w:hAnsi="宋体" w:eastAsia="宋体" w:cs="宋体"/>
          <w:sz w:val="24"/>
          <w:highlight w:val="none"/>
        </w:rPr>
        <w:t>及时清理、消毒</w:t>
      </w:r>
      <w:r>
        <w:rPr>
          <w:rFonts w:ascii="宋体" w:hAnsi="宋体" w:eastAsia="宋体" w:cs="宋体"/>
          <w:sz w:val="24"/>
          <w:highlight w:val="none"/>
        </w:rPr>
        <w:t>，</w:t>
      </w:r>
      <w:r>
        <w:rPr>
          <w:rFonts w:hint="eastAsia" w:ascii="宋体" w:hAnsi="宋体" w:eastAsia="宋体" w:cs="宋体"/>
          <w:sz w:val="24"/>
          <w:highlight w:val="none"/>
        </w:rPr>
        <w:t>确保</w:t>
      </w:r>
      <w:r>
        <w:rPr>
          <w:rFonts w:ascii="宋体" w:hAnsi="宋体" w:eastAsia="宋体" w:cs="宋体"/>
          <w:sz w:val="24"/>
          <w:highlight w:val="none"/>
        </w:rPr>
        <w:t xml:space="preserve">清洁无污渍。  </w:t>
      </w:r>
    </w:p>
    <w:p w14:paraId="67DBDA57">
      <w:pPr>
        <w:adjustRightInd w:val="0"/>
        <w:spacing w:line="560" w:lineRule="exact"/>
        <w:ind w:firstLine="480" w:firstLineChars="200"/>
        <w:textAlignment w:val="baseline"/>
        <w:rPr>
          <w:rFonts w:ascii="宋体" w:hAnsi="宋体" w:eastAsia="宋体" w:cs="宋体"/>
          <w:sz w:val="24"/>
          <w:highlight w:val="none"/>
        </w:rPr>
      </w:pPr>
      <w:bookmarkStart w:id="14" w:name="OLE_LINK19"/>
      <w:bookmarkStart w:id="15" w:name="OLE_LINK18"/>
      <w:r>
        <w:rPr>
          <w:rFonts w:hint="eastAsia" w:ascii="宋体" w:hAnsi="宋体" w:eastAsia="宋体" w:cs="宋体"/>
          <w:sz w:val="24"/>
          <w:highlight w:val="none"/>
        </w:rPr>
        <w:t>（</w:t>
      </w:r>
      <w:r>
        <w:rPr>
          <w:rFonts w:ascii="宋体" w:hAnsi="宋体" w:eastAsia="宋体" w:cs="宋体"/>
          <w:sz w:val="24"/>
          <w:highlight w:val="none"/>
        </w:rPr>
        <w:t>7</w:t>
      </w:r>
      <w:r>
        <w:rPr>
          <w:rFonts w:hint="eastAsia" w:ascii="宋体" w:hAnsi="宋体" w:eastAsia="宋体" w:cs="宋体"/>
          <w:sz w:val="24"/>
          <w:highlight w:val="none"/>
        </w:rPr>
        <w:t>）</w:t>
      </w:r>
      <w:bookmarkEnd w:id="14"/>
      <w:bookmarkEnd w:id="15"/>
      <w:r>
        <w:rPr>
          <w:rFonts w:hint="eastAsia" w:ascii="宋体" w:hAnsi="宋体" w:eastAsia="宋体" w:cs="宋体"/>
          <w:sz w:val="24"/>
          <w:highlight w:val="none"/>
        </w:rPr>
        <w:t>会议室</w:t>
      </w:r>
      <w:r>
        <w:rPr>
          <w:rFonts w:ascii="宋体" w:hAnsi="宋体" w:eastAsia="宋体" w:cs="宋体"/>
          <w:sz w:val="24"/>
          <w:highlight w:val="none"/>
        </w:rPr>
        <w:t>多媒体设备管理</w:t>
      </w:r>
      <w:r>
        <w:rPr>
          <w:rFonts w:hint="eastAsia" w:ascii="宋体" w:hAnsi="宋体" w:eastAsia="宋体" w:cs="宋体"/>
          <w:sz w:val="24"/>
          <w:highlight w:val="none"/>
        </w:rPr>
        <w:t>标准</w:t>
      </w:r>
    </w:p>
    <w:p w14:paraId="028D9DBC">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建立会议室投影仪、电子屏、音响、视频会议系统等设备台账，每日会前检查并做好记录。  </w:t>
      </w:r>
    </w:p>
    <w:p w14:paraId="6BBE7468">
      <w:pPr>
        <w:adjustRightInd w:val="0"/>
        <w:spacing w:line="560" w:lineRule="exact"/>
        <w:ind w:firstLine="480" w:firstLineChars="200"/>
        <w:textAlignment w:val="baseline"/>
        <w:rPr>
          <w:rFonts w:ascii="仿宋" w:hAnsi="仿宋" w:eastAsia="仿宋"/>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每月向学校会议室管理单位汇报会议室设备情况，全面检修一次，设备完好率≥98%，故障响应时间≤10分钟。有问题设备应及时报告学校会议室管理单位，并快速做好维修安排，确保会议能正常使用。</w:t>
      </w:r>
      <w:r>
        <w:rPr>
          <w:rFonts w:ascii="仿宋" w:hAnsi="仿宋" w:eastAsia="仿宋"/>
          <w:sz w:val="24"/>
          <w:highlight w:val="none"/>
        </w:rPr>
        <w:t xml:space="preserve"> </w:t>
      </w:r>
    </w:p>
    <w:p w14:paraId="21F08DB2">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会议期间，专职技术人员全程值守，协助调试设备，确保音视频、PPT、直播连线等流程无差错。  </w:t>
      </w:r>
    </w:p>
    <w:p w14:paraId="15569C0B">
      <w:pPr>
        <w:adjustRightInd w:val="0"/>
        <w:spacing w:line="560" w:lineRule="exact"/>
        <w:ind w:firstLine="480" w:firstLineChars="200"/>
        <w:textAlignment w:val="baseline"/>
        <w:rPr>
          <w:rFonts w:ascii="宋体" w:hAnsi="宋体" w:eastAsia="宋体" w:cs="宋体"/>
          <w:sz w:val="24"/>
          <w:highlight w:val="none"/>
        </w:rPr>
      </w:pPr>
      <w:r>
        <w:rPr>
          <w:rFonts w:ascii="宋体" w:hAnsi="宋体"/>
          <w:sz w:val="24"/>
          <w:highlight w:val="none"/>
        </w:rPr>
        <w:t>4</w:t>
      </w:r>
      <w:r>
        <w:rPr>
          <w:rFonts w:hint="eastAsia" w:ascii="宋体" w:hAnsi="宋体"/>
          <w:sz w:val="24"/>
          <w:highlight w:val="none"/>
        </w:rPr>
        <w:t>）</w:t>
      </w:r>
      <w:r>
        <w:rPr>
          <w:rFonts w:hint="eastAsia" w:ascii="宋体" w:hAnsi="宋体" w:eastAsia="宋体" w:cs="宋体"/>
          <w:sz w:val="24"/>
          <w:highlight w:val="none"/>
        </w:rPr>
        <w:t>会后10分钟内关闭设备电源，填写《设备使用登记表》。</w:t>
      </w:r>
    </w:p>
    <w:p w14:paraId="49436754">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8</w:t>
      </w:r>
      <w:r>
        <w:rPr>
          <w:rFonts w:hint="eastAsia" w:ascii="宋体" w:hAnsi="宋体" w:eastAsia="宋体" w:cs="宋体"/>
          <w:sz w:val="24"/>
          <w:highlight w:val="none"/>
        </w:rPr>
        <w:t>）会议服务</w:t>
      </w:r>
      <w:r>
        <w:rPr>
          <w:rFonts w:ascii="宋体" w:hAnsi="宋体" w:eastAsia="宋体" w:cs="宋体"/>
          <w:sz w:val="24"/>
          <w:highlight w:val="none"/>
        </w:rPr>
        <w:t xml:space="preserve">标准 </w:t>
      </w:r>
    </w:p>
    <w:p w14:paraId="700CCB36">
      <w:pPr>
        <w:adjustRightInd w:val="0"/>
        <w:spacing w:line="560" w:lineRule="exact"/>
        <w:ind w:firstLine="480" w:firstLineChars="200"/>
        <w:textAlignment w:val="baseline"/>
        <w:rPr>
          <w:rFonts w:ascii="宋体" w:hAnsi="宋体" w:eastAsia="宋体" w:cs="宋体"/>
          <w:sz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eastAsia="宋体" w:cs="宋体"/>
          <w:sz w:val="24"/>
          <w:highlight w:val="none"/>
        </w:rPr>
        <w:t xml:space="preserve">前台服务：配置专职接待员2名，负责参会人员登记、指引、咨询，响应时间≤30秒。 提供全天候电话及线上预约服务，工单处理时效≤2小时。 </w:t>
      </w:r>
    </w:p>
    <w:p w14:paraId="2C0AD416">
      <w:pPr>
        <w:adjustRightInd w:val="0"/>
        <w:spacing w:line="560" w:lineRule="exact"/>
        <w:ind w:firstLine="480" w:firstLineChars="200"/>
        <w:textAlignment w:val="baseline"/>
        <w:rPr>
          <w:rFonts w:ascii="宋体" w:hAnsi="宋体"/>
          <w:sz w:val="24"/>
          <w:highlight w:val="none"/>
        </w:rPr>
      </w:pPr>
      <w:r>
        <w:rPr>
          <w:rFonts w:ascii="宋体" w:hAnsi="宋体"/>
          <w:sz w:val="24"/>
          <w:highlight w:val="none"/>
        </w:rPr>
        <w:t>2</w:t>
      </w:r>
      <w:r>
        <w:rPr>
          <w:rFonts w:hint="eastAsia" w:ascii="宋体" w:hAnsi="宋体"/>
          <w:sz w:val="24"/>
          <w:highlight w:val="none"/>
        </w:rPr>
        <w:t>）会务服务：会议室设施设备要保证会议需要，提前30分钟做好会务准备、贵宾接待和会议服务，包括会议室投影准备、座位牌、资料、会议用品、茶水、咖啡等服务；会中做好引领、蓄水等工作，会中每15分钟续茶一次，动作轻缓无噪音，不将水溅洒在参会人员身上；会议结束后15分钟内，完成会议室清理，确保下一场会议正常使用。茶叶、咖啡和纸杯等由采购人提供，咖啡机由中标人提供，至少1台。若会议室设施设备出现问题需要更换，应及时向采购人报告。</w:t>
      </w:r>
      <w:r>
        <w:rPr>
          <w:rFonts w:hint="eastAsia" w:ascii="宋体" w:hAnsi="宋体"/>
          <w:b/>
          <w:color w:val="000000" w:themeColor="text1"/>
          <w:sz w:val="24"/>
          <w:highlight w:val="none"/>
          <w14:textFill>
            <w14:solidFill>
              <w14:schemeClr w14:val="tx1"/>
            </w14:solidFill>
          </w14:textFill>
        </w:rPr>
        <w:t>（提供承诺函）</w:t>
      </w:r>
    </w:p>
    <w:p w14:paraId="1464A03F">
      <w:pPr>
        <w:adjustRightInd w:val="0"/>
        <w:spacing w:line="560" w:lineRule="exact"/>
        <w:ind w:firstLine="480" w:firstLineChars="200"/>
        <w:textAlignment w:val="baseline"/>
        <w:rPr>
          <w:rFonts w:ascii="宋体" w:hAnsi="宋体" w:eastAsia="宋体" w:cs="宋体"/>
          <w:sz w:val="24"/>
          <w:highlight w:val="none"/>
        </w:rPr>
      </w:pPr>
      <w:r>
        <w:rPr>
          <w:rFonts w:ascii="宋体" w:hAnsi="宋体"/>
          <w:sz w:val="24"/>
          <w:highlight w:val="none"/>
        </w:rPr>
        <w:t>3</w:t>
      </w:r>
      <w:r>
        <w:rPr>
          <w:rFonts w:hint="eastAsia" w:ascii="宋体" w:hAnsi="宋体"/>
          <w:sz w:val="24"/>
          <w:highlight w:val="none"/>
        </w:rPr>
        <w:t>）</w:t>
      </w:r>
      <w:r>
        <w:rPr>
          <w:rFonts w:hint="eastAsia" w:ascii="宋体" w:hAnsi="宋体" w:eastAsia="宋体" w:cs="宋体"/>
          <w:sz w:val="24"/>
          <w:highlight w:val="none"/>
        </w:rPr>
        <w:t>突发事件处理：设备故障、人员不适等紧急情况5分钟内上报并启动预案。</w:t>
      </w:r>
    </w:p>
    <w:p w14:paraId="1EA3A041">
      <w:pPr>
        <w:pStyle w:val="59"/>
        <w:spacing w:line="460" w:lineRule="exact"/>
        <w:ind w:firstLine="48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5</w:t>
      </w:r>
      <w:r>
        <w:rPr>
          <w:rFonts w:hint="eastAsia" w:ascii="宋体" w:hAnsi="宋体"/>
          <w:b/>
          <w:color w:val="000000" w:themeColor="text1"/>
          <w:sz w:val="24"/>
          <w:szCs w:val="24"/>
          <w:highlight w:val="none"/>
          <w14:textFill>
            <w14:solidFill>
              <w14:schemeClr w14:val="tx1"/>
            </w14:solidFill>
          </w14:textFill>
        </w:rPr>
        <w:t xml:space="preserve"> 多媒体教室管理</w:t>
      </w:r>
    </w:p>
    <w:p w14:paraId="03BF03CA">
      <w:pPr>
        <w:spacing w:line="360" w:lineRule="auto"/>
        <w:ind w:firstLine="48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5</w:t>
      </w:r>
      <w:r>
        <w:rPr>
          <w:rFonts w:hint="eastAsia" w:ascii="宋体" w:hAnsi="宋体"/>
          <w:b/>
          <w:color w:val="000000" w:themeColor="text1"/>
          <w:sz w:val="24"/>
          <w:szCs w:val="24"/>
          <w:highlight w:val="none"/>
          <w14:textFill>
            <w14:solidFill>
              <w14:schemeClr w14:val="tx1"/>
            </w14:solidFill>
          </w14:textFill>
        </w:rPr>
        <w:t>.1 服务内容</w:t>
      </w:r>
    </w:p>
    <w:p w14:paraId="3AC2D57E">
      <w:pPr>
        <w:adjustRightInd w:val="0"/>
        <w:spacing w:line="560" w:lineRule="exact"/>
        <w:ind w:firstLine="480" w:firstLineChars="200"/>
        <w:textAlignment w:val="baseline"/>
        <w:rPr>
          <w:rFonts w:ascii="宋体" w:hAnsi="宋体" w:eastAsia="宋体" w:cs="宋体"/>
          <w:sz w:val="24"/>
          <w:highlight w:val="none"/>
        </w:rPr>
      </w:pPr>
      <w:r>
        <w:rPr>
          <w:rFonts w:ascii="宋体" w:hAnsi="宋体" w:eastAsia="宋体" w:cs="宋体"/>
          <w:sz w:val="24"/>
          <w:highlight w:val="none"/>
        </w:rPr>
        <w:t>负责</w:t>
      </w:r>
      <w:r>
        <w:rPr>
          <w:rFonts w:hint="eastAsia" w:ascii="宋体" w:hAnsi="宋体" w:eastAsia="宋体" w:cs="宋体"/>
          <w:sz w:val="24"/>
          <w:highlight w:val="none"/>
        </w:rPr>
        <w:t>第一、第二、第三办公楼公共</w:t>
      </w:r>
      <w:r>
        <w:rPr>
          <w:rFonts w:ascii="宋体" w:hAnsi="宋体" w:eastAsia="宋体" w:cs="宋体"/>
          <w:sz w:val="24"/>
          <w:highlight w:val="none"/>
        </w:rPr>
        <w:t>会议室、第五</w:t>
      </w:r>
      <w:r>
        <w:rPr>
          <w:rFonts w:hint="eastAsia" w:ascii="宋体" w:hAnsi="宋体" w:eastAsia="宋体" w:cs="宋体"/>
          <w:sz w:val="24"/>
          <w:highlight w:val="none"/>
        </w:rPr>
        <w:t>教学楼</w:t>
      </w:r>
      <w:r>
        <w:rPr>
          <w:rFonts w:ascii="宋体" w:hAnsi="宋体" w:eastAsia="宋体" w:cs="宋体"/>
          <w:sz w:val="24"/>
          <w:highlight w:val="none"/>
        </w:rPr>
        <w:t>、第六教学楼所有多媒体设备的维护、管理和服务</w:t>
      </w:r>
      <w:r>
        <w:rPr>
          <w:rFonts w:hint="eastAsia" w:ascii="宋体" w:hAnsi="宋体" w:eastAsia="宋体" w:cs="宋体"/>
          <w:sz w:val="24"/>
          <w:highlight w:val="none"/>
        </w:rPr>
        <w:t>，服务内容如下：</w:t>
      </w:r>
    </w:p>
    <w:p w14:paraId="7DBD33CD">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w:t>
      </w:r>
      <w:r>
        <w:rPr>
          <w:rFonts w:ascii="宋体" w:hAnsi="宋体" w:eastAsia="宋体" w:cs="宋体"/>
          <w:sz w:val="24"/>
          <w:highlight w:val="none"/>
        </w:rPr>
        <w:t>建立多媒体设备的台账与清单，</w:t>
      </w:r>
      <w:r>
        <w:rPr>
          <w:rFonts w:hint="eastAsia" w:ascii="宋体" w:hAnsi="宋体" w:eastAsia="宋体" w:cs="宋体"/>
          <w:sz w:val="24"/>
          <w:highlight w:val="none"/>
        </w:rPr>
        <w:t>做好</w:t>
      </w:r>
      <w:r>
        <w:rPr>
          <w:rFonts w:ascii="宋体" w:hAnsi="宋体" w:eastAsia="宋体" w:cs="宋体"/>
          <w:sz w:val="24"/>
          <w:highlight w:val="none"/>
        </w:rPr>
        <w:t>多媒体设施设备的管理记录。</w:t>
      </w:r>
    </w:p>
    <w:p w14:paraId="46ADA1ED">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2</w:t>
      </w:r>
      <w:r>
        <w:rPr>
          <w:rFonts w:hint="eastAsia" w:ascii="宋体" w:hAnsi="宋体" w:eastAsia="宋体" w:cs="宋体"/>
          <w:sz w:val="24"/>
          <w:highlight w:val="none"/>
        </w:rPr>
        <w:t>）</w:t>
      </w:r>
      <w:r>
        <w:rPr>
          <w:rFonts w:ascii="宋体" w:hAnsi="宋体" w:eastAsia="宋体" w:cs="宋体"/>
          <w:sz w:val="24"/>
          <w:highlight w:val="none"/>
        </w:rPr>
        <w:t>负责日常多媒体设施设备的检查与维护。</w:t>
      </w:r>
    </w:p>
    <w:p w14:paraId="35BE1F0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3</w:t>
      </w:r>
      <w:r>
        <w:rPr>
          <w:rFonts w:hint="eastAsia" w:ascii="宋体" w:hAnsi="宋体" w:eastAsia="宋体" w:cs="宋体"/>
          <w:sz w:val="24"/>
          <w:highlight w:val="none"/>
        </w:rPr>
        <w:t>）</w:t>
      </w:r>
      <w:r>
        <w:rPr>
          <w:rFonts w:ascii="宋体" w:hAnsi="宋体" w:eastAsia="宋体" w:cs="宋体"/>
          <w:sz w:val="24"/>
          <w:highlight w:val="none"/>
        </w:rPr>
        <w:t>负责电脑系统的维修、维护、清理及软件安装、更新、重装。</w:t>
      </w:r>
    </w:p>
    <w:p w14:paraId="28862FB9">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4</w:t>
      </w:r>
      <w:r>
        <w:rPr>
          <w:rFonts w:hint="eastAsia" w:ascii="宋体" w:hAnsi="宋体" w:eastAsia="宋体" w:cs="宋体"/>
          <w:sz w:val="24"/>
          <w:highlight w:val="none"/>
        </w:rPr>
        <w:t>）</w:t>
      </w:r>
      <w:r>
        <w:rPr>
          <w:rFonts w:ascii="宋体" w:hAnsi="宋体" w:eastAsia="宋体" w:cs="宋体"/>
          <w:sz w:val="24"/>
          <w:highlight w:val="none"/>
        </w:rPr>
        <w:t>负责协助采购人相关部门做好每年多媒体设备台账的</w:t>
      </w:r>
      <w:r>
        <w:rPr>
          <w:rFonts w:hint="eastAsia" w:ascii="宋体" w:hAnsi="宋体" w:eastAsia="宋体" w:cs="宋体"/>
          <w:sz w:val="24"/>
          <w:highlight w:val="none"/>
        </w:rPr>
        <w:t>清查</w:t>
      </w:r>
      <w:r>
        <w:rPr>
          <w:rFonts w:ascii="宋体" w:hAnsi="宋体" w:eastAsia="宋体" w:cs="宋体"/>
          <w:sz w:val="24"/>
          <w:highlight w:val="none"/>
        </w:rPr>
        <w:t>。</w:t>
      </w:r>
    </w:p>
    <w:p w14:paraId="7C2F3DBF">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w:t>
      </w:r>
      <w:r>
        <w:rPr>
          <w:rFonts w:ascii="宋体" w:hAnsi="宋体" w:eastAsia="宋体" w:cs="宋体"/>
          <w:sz w:val="24"/>
          <w:highlight w:val="none"/>
        </w:rPr>
        <w:t>协助多媒体设施设备的维修</w:t>
      </w:r>
      <w:r>
        <w:rPr>
          <w:rFonts w:hint="eastAsia" w:ascii="宋体" w:hAnsi="宋体" w:eastAsia="宋体" w:cs="宋体"/>
          <w:sz w:val="24"/>
          <w:highlight w:val="none"/>
        </w:rPr>
        <w:t>、新建等</w:t>
      </w:r>
      <w:r>
        <w:rPr>
          <w:rFonts w:ascii="宋体" w:hAnsi="宋体" w:eastAsia="宋体" w:cs="宋体"/>
          <w:sz w:val="24"/>
          <w:highlight w:val="none"/>
        </w:rPr>
        <w:t>工作。</w:t>
      </w:r>
    </w:p>
    <w:p w14:paraId="7D12BD7A">
      <w:pPr>
        <w:adjustRightInd w:val="0"/>
        <w:spacing w:line="560" w:lineRule="exact"/>
        <w:ind w:firstLine="480" w:firstLineChars="200"/>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w:t>
      </w:r>
      <w:r>
        <w:rPr>
          <w:rFonts w:hint="eastAsia" w:ascii="宋体" w:hAnsi="宋体"/>
          <w:color w:val="000000" w:themeColor="text1"/>
          <w:sz w:val="24"/>
          <w:szCs w:val="24"/>
          <w:highlight w:val="none"/>
          <w14:textFill>
            <w14:solidFill>
              <w14:schemeClr w14:val="tx1"/>
            </w14:solidFill>
          </w14:textFill>
        </w:rPr>
        <w:t>负责多媒体设施设备的检查与维修，做到有记录，消除安全隐患，及时排除故障，保证使用合格率达100%。若设备出现问题需要更换，应及时向采购人报告。</w:t>
      </w:r>
      <w:r>
        <w:rPr>
          <w:rFonts w:hint="eastAsia" w:ascii="宋体" w:hAnsi="宋体"/>
          <w:b/>
          <w:bCs/>
          <w:color w:val="000000" w:themeColor="text1"/>
          <w:sz w:val="24"/>
          <w:szCs w:val="24"/>
          <w:highlight w:val="none"/>
          <w14:textFill>
            <w14:solidFill>
              <w14:schemeClr w14:val="tx1"/>
            </w14:solidFill>
          </w14:textFill>
        </w:rPr>
        <w:t>（提供承诺函）</w:t>
      </w:r>
      <w:r>
        <w:rPr>
          <w:rFonts w:hint="eastAsia" w:ascii="宋体" w:hAnsi="宋体"/>
          <w:color w:val="000000" w:themeColor="text1"/>
          <w:sz w:val="24"/>
          <w:szCs w:val="24"/>
          <w:highlight w:val="none"/>
          <w14:textFill>
            <w14:solidFill>
              <w14:schemeClr w14:val="tx1"/>
            </w14:solidFill>
          </w14:textFill>
        </w:rPr>
        <w:t xml:space="preserve"> </w:t>
      </w:r>
    </w:p>
    <w:p w14:paraId="594F0164">
      <w:pPr>
        <w:pStyle w:val="59"/>
        <w:spacing w:line="360" w:lineRule="auto"/>
        <w:ind w:left="425"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5</w:t>
      </w:r>
      <w:r>
        <w:rPr>
          <w:rFonts w:hint="eastAsia" w:ascii="宋体" w:hAnsi="宋体"/>
          <w:b/>
          <w:color w:val="000000" w:themeColor="text1"/>
          <w:sz w:val="24"/>
          <w:szCs w:val="24"/>
          <w:highlight w:val="none"/>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 xml:space="preserve"> 服务要求</w:t>
      </w:r>
    </w:p>
    <w:p w14:paraId="7FAC930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w:t>
      </w:r>
      <w:r>
        <w:rPr>
          <w:rFonts w:ascii="宋体" w:hAnsi="宋体" w:eastAsia="宋体" w:cs="宋体"/>
          <w:sz w:val="24"/>
          <w:highlight w:val="none"/>
        </w:rPr>
        <w:t>在工作期间，中标人应当注意技术操作流程，确保人身安全，凡因中标人的过失而引起的安全事故，由中标人自行承担。若给采购人及人员造成损伤的由双方协商解决，协商不成则按相关司法途径解决。</w:t>
      </w:r>
    </w:p>
    <w:p w14:paraId="2F62513E">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2</w:t>
      </w:r>
      <w:r>
        <w:rPr>
          <w:rFonts w:hint="eastAsia" w:ascii="宋体" w:hAnsi="宋体" w:eastAsia="宋体" w:cs="宋体"/>
          <w:sz w:val="24"/>
          <w:highlight w:val="none"/>
        </w:rPr>
        <w:t>）</w:t>
      </w:r>
      <w:r>
        <w:rPr>
          <w:rFonts w:ascii="宋体" w:hAnsi="宋体" w:eastAsia="宋体" w:cs="宋体"/>
          <w:sz w:val="24"/>
          <w:highlight w:val="none"/>
        </w:rPr>
        <w:t>在中标人值班期间，因中标人的原因造成教学设备损坏或丢失的，由中标人负责维修或按原价赔偿。</w:t>
      </w:r>
    </w:p>
    <w:p w14:paraId="42B02E8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3</w:t>
      </w:r>
      <w:r>
        <w:rPr>
          <w:rFonts w:hint="eastAsia" w:ascii="宋体" w:hAnsi="宋体" w:eastAsia="宋体" w:cs="宋体"/>
          <w:sz w:val="24"/>
          <w:highlight w:val="none"/>
        </w:rPr>
        <w:t>）</w:t>
      </w:r>
      <w:r>
        <w:rPr>
          <w:rFonts w:ascii="宋体" w:hAnsi="宋体" w:eastAsia="宋体" w:cs="宋体"/>
          <w:sz w:val="24"/>
          <w:highlight w:val="none"/>
        </w:rPr>
        <w:t>中标人要爱护采购人的公共设备，负责教室、主控室和多媒体机房内所有多媒体教学设备的防火、防水、防雷、防盗和安全用电工作，并详细记录安全检查情况，发现隐患处理。</w:t>
      </w:r>
    </w:p>
    <w:p w14:paraId="33001D9D">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4</w:t>
      </w:r>
      <w:r>
        <w:rPr>
          <w:rFonts w:hint="eastAsia" w:ascii="宋体" w:hAnsi="宋体" w:eastAsia="宋体" w:cs="宋体"/>
          <w:sz w:val="24"/>
          <w:highlight w:val="none"/>
        </w:rPr>
        <w:t>）</w:t>
      </w:r>
      <w:r>
        <w:rPr>
          <w:rFonts w:ascii="宋体" w:hAnsi="宋体" w:eastAsia="宋体" w:cs="宋体"/>
          <w:sz w:val="24"/>
          <w:highlight w:val="none"/>
        </w:rPr>
        <w:t>中标人需要做好保密约定和网络安全防护，如因中标人泄密或者由网络安全事件造成的软硬件损坏及信息数据泄露丢失造成的损失，由中标人负责。</w:t>
      </w:r>
    </w:p>
    <w:p w14:paraId="68787CFA">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）教学事故认定</w:t>
      </w:r>
    </w:p>
    <w:p w14:paraId="52836295">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上班时间</w:t>
      </w:r>
      <w:bookmarkStart w:id="16" w:name="OLE_LINK2"/>
      <w:bookmarkStart w:id="17" w:name="OLE_LINK1"/>
      <w:r>
        <w:rPr>
          <w:rFonts w:hint="eastAsia" w:ascii="宋体" w:hAnsi="宋体" w:eastAsia="宋体" w:cs="宋体"/>
          <w:sz w:val="24"/>
          <w:highlight w:val="none"/>
        </w:rPr>
        <w:t>中标人多媒体管理</w:t>
      </w:r>
      <w:r>
        <w:rPr>
          <w:rFonts w:ascii="宋体" w:hAnsi="宋体" w:eastAsia="宋体" w:cs="宋体"/>
          <w:sz w:val="24"/>
          <w:highlight w:val="none"/>
        </w:rPr>
        <w:t>人员</w:t>
      </w:r>
      <w:bookmarkEnd w:id="16"/>
      <w:bookmarkEnd w:id="17"/>
      <w:r>
        <w:rPr>
          <w:rFonts w:ascii="宋体" w:hAnsi="宋体" w:eastAsia="宋体" w:cs="宋体"/>
          <w:sz w:val="24"/>
          <w:highlight w:val="none"/>
        </w:rPr>
        <w:t>不到岗或迟到早退或未向采购人请假擅自离岗，计中标人教学事故0.5次。</w:t>
      </w:r>
    </w:p>
    <w:p w14:paraId="707D17AC">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上课期间多媒体设备出现故障，</w:t>
      </w:r>
      <w:r>
        <w:rPr>
          <w:rFonts w:hint="eastAsia" w:ascii="宋体" w:hAnsi="宋体" w:eastAsia="宋体" w:cs="宋体"/>
          <w:sz w:val="24"/>
          <w:highlight w:val="none"/>
        </w:rPr>
        <w:t>中标人多媒体管理</w:t>
      </w:r>
      <w:r>
        <w:rPr>
          <w:rFonts w:ascii="宋体" w:hAnsi="宋体" w:eastAsia="宋体" w:cs="宋体"/>
          <w:sz w:val="24"/>
          <w:highlight w:val="none"/>
        </w:rPr>
        <w:t>人员擅自离岗或未能在规定时间赶赴现场，每次计中标人教学事故1次。</w:t>
      </w:r>
    </w:p>
    <w:p w14:paraId="15E6FE9E">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多媒体教室设备出现问题，48小时内没有解决，每次计中标人教学事故1次。</w:t>
      </w:r>
    </w:p>
    <w:p w14:paraId="56838485">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由于中标人运维工作不力导致一天内调课数多于2次的，计中标人教学事故1次。</w:t>
      </w:r>
    </w:p>
    <w:p w14:paraId="200FA294">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经调查，若发现中标人存在以下行为之一，将被认定为违规或服务态度差：对师生的合理请求故意拖延、推诿或拒绝处理</w:t>
      </w:r>
      <w:r>
        <w:rPr>
          <w:rFonts w:hint="eastAsia" w:ascii="宋体" w:hAnsi="宋体" w:eastAsia="宋体" w:cs="宋体"/>
          <w:sz w:val="24"/>
          <w:highlight w:val="none"/>
        </w:rPr>
        <w:t>；</w:t>
      </w:r>
      <w:r>
        <w:rPr>
          <w:rFonts w:ascii="宋体" w:hAnsi="宋体" w:eastAsia="宋体" w:cs="宋体"/>
          <w:sz w:val="24"/>
          <w:highlight w:val="none"/>
        </w:rPr>
        <w:t>在服务过程中使用不礼貌、不文明的语言，与师生发生争吵</w:t>
      </w:r>
      <w:r>
        <w:rPr>
          <w:rFonts w:hint="eastAsia" w:ascii="宋体" w:hAnsi="宋体" w:eastAsia="宋体" w:cs="宋体"/>
          <w:sz w:val="24"/>
          <w:highlight w:val="none"/>
        </w:rPr>
        <w:t>；</w:t>
      </w:r>
      <w:r>
        <w:rPr>
          <w:rFonts w:ascii="宋体" w:hAnsi="宋体" w:eastAsia="宋体" w:cs="宋体"/>
          <w:sz w:val="24"/>
          <w:highlight w:val="none"/>
        </w:rPr>
        <w:t>其他违反职业道德、工作纪律或影响师生正常教学和学习的行为。</w:t>
      </w:r>
    </w:p>
    <w:p w14:paraId="045B940A">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首次发生上述问题，中标人应对涉事多媒体管理人员进行批评教育，并向采购人提供书面的处理结果和整改措施。若同一多媒体管理人员再次出现类似问题，计中标人教学事故</w:t>
      </w:r>
      <w:r>
        <w:rPr>
          <w:rFonts w:ascii="宋体" w:hAnsi="宋体" w:eastAsia="宋体" w:cs="宋体"/>
          <w:sz w:val="24"/>
          <w:highlight w:val="none"/>
        </w:rPr>
        <w:t>1次。</w:t>
      </w:r>
    </w:p>
    <w:p w14:paraId="54E3E90B">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一学期内发生5次以上教学事故，采购人有权要求中标人更换驻校</w:t>
      </w:r>
      <w:r>
        <w:rPr>
          <w:rFonts w:hint="eastAsia" w:ascii="宋体" w:hAnsi="宋体" w:eastAsia="宋体" w:cs="宋体"/>
          <w:sz w:val="24"/>
          <w:highlight w:val="none"/>
        </w:rPr>
        <w:t>多媒体管理</w:t>
      </w:r>
      <w:r>
        <w:rPr>
          <w:rFonts w:ascii="宋体" w:hAnsi="宋体" w:eastAsia="宋体" w:cs="宋体"/>
          <w:sz w:val="24"/>
          <w:highlight w:val="none"/>
        </w:rPr>
        <w:t>人员。发生严重教学事故</w:t>
      </w:r>
      <w:r>
        <w:rPr>
          <w:rFonts w:hint="eastAsia" w:ascii="宋体" w:hAnsi="宋体" w:eastAsia="宋体" w:cs="宋体"/>
          <w:sz w:val="24"/>
          <w:highlight w:val="none"/>
        </w:rPr>
        <w:t>且属于中标人责任的，采购人有权单方面解除合同，中标人必须立即离场，所造成的经济损失由中标人承担。</w:t>
      </w:r>
    </w:p>
    <w:p w14:paraId="2A268398">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ascii="宋体" w:hAnsi="宋体" w:eastAsia="宋体" w:cs="宋体"/>
          <w:sz w:val="24"/>
          <w:highlight w:val="none"/>
        </w:rPr>
        <w:t>一次教学事故处罚违约金1000元</w:t>
      </w:r>
      <w:r>
        <w:rPr>
          <w:rFonts w:hint="eastAsia" w:ascii="宋体" w:hAnsi="宋体" w:eastAsia="宋体" w:cs="宋体"/>
          <w:sz w:val="24"/>
          <w:highlight w:val="none"/>
        </w:rPr>
        <w:t>，</w:t>
      </w:r>
      <w:r>
        <w:rPr>
          <w:rFonts w:ascii="宋体" w:hAnsi="宋体" w:eastAsia="宋体" w:cs="宋体"/>
          <w:sz w:val="24"/>
          <w:highlight w:val="none"/>
        </w:rPr>
        <w:t>违约金</w:t>
      </w:r>
      <w:r>
        <w:rPr>
          <w:rFonts w:hint="eastAsia" w:ascii="宋体" w:hAnsi="宋体" w:eastAsia="宋体" w:cs="宋体"/>
          <w:sz w:val="24"/>
          <w:highlight w:val="none"/>
        </w:rPr>
        <w:t>由</w:t>
      </w:r>
      <w:r>
        <w:rPr>
          <w:rFonts w:ascii="宋体" w:hAnsi="宋体" w:eastAsia="宋体" w:cs="宋体"/>
          <w:sz w:val="24"/>
          <w:highlight w:val="none"/>
        </w:rPr>
        <w:t>采购人在该项目</w:t>
      </w:r>
      <w:r>
        <w:rPr>
          <w:rFonts w:hint="eastAsia" w:ascii="宋体" w:hAnsi="宋体" w:eastAsia="宋体" w:cs="宋体"/>
          <w:sz w:val="24"/>
          <w:highlight w:val="none"/>
        </w:rPr>
        <w:t>物业</w:t>
      </w:r>
      <w:r>
        <w:rPr>
          <w:rFonts w:ascii="宋体" w:hAnsi="宋体" w:eastAsia="宋体" w:cs="宋体"/>
          <w:sz w:val="24"/>
          <w:highlight w:val="none"/>
        </w:rPr>
        <w:t>服务费中扣除。</w:t>
      </w:r>
    </w:p>
    <w:p w14:paraId="1554FC21">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中标人应按照多媒体设备管理内容、服务要求、服务标准开展本项目多媒体设备管理工作，提供多媒体设备管理方案，方案应包含不限于人员配置及职责、管理制度、考核办法、多媒体设备教学故障应急保障方案等。</w:t>
      </w:r>
    </w:p>
    <w:p w14:paraId="79872BAD">
      <w:pPr>
        <w:pStyle w:val="59"/>
        <w:spacing w:line="360" w:lineRule="auto"/>
        <w:ind w:left="425" w:firstLine="0" w:firstLineChars="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5</w:t>
      </w:r>
      <w:r>
        <w:rPr>
          <w:rFonts w:hint="eastAsia" w:ascii="宋体" w:hAnsi="宋体"/>
          <w:b/>
          <w:color w:val="000000" w:themeColor="text1"/>
          <w:sz w:val="24"/>
          <w:szCs w:val="24"/>
          <w:highlight w:val="none"/>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 xml:space="preserve"> 服务标准</w:t>
      </w:r>
    </w:p>
    <w:p w14:paraId="42FFF58C">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（1）为授课教师（会议室使用人）解决在使用多媒体设备时遇到的各种问题，如出现设备故障要迅速处理，把对教学（会议）的影响降到最小。乙方在接到报修后，应在</w:t>
      </w:r>
      <w:r>
        <w:rPr>
          <w:rFonts w:ascii="宋体" w:hAnsi="宋体" w:eastAsia="宋体" w:cs="宋体"/>
          <w:sz w:val="24"/>
          <w:highlight w:val="none"/>
        </w:rPr>
        <w:t>3分钟内响应，并在5分钟内到达现场进行处理（特殊情况需与甲方协商并说明原因）。对于一般故障，乙方应在到达现场后30分钟内修复；对于复杂故障，乙方应在1个工作日内修复或提供临时解决方案，确保多媒体教室正常教学（会议）不受影响。如因不可抗力等特殊原因无法按时修复，乙方应及时通知甲方，并积极采取措施尽快恢复设备正常运行。</w:t>
      </w:r>
    </w:p>
    <w:p w14:paraId="1B82CAB0">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2</w:t>
      </w:r>
      <w:r>
        <w:rPr>
          <w:rFonts w:hint="eastAsia" w:ascii="宋体" w:hAnsi="宋体" w:eastAsia="宋体" w:cs="宋体"/>
          <w:sz w:val="24"/>
          <w:highlight w:val="none"/>
        </w:rPr>
        <w:t>）</w:t>
      </w:r>
      <w:r>
        <w:rPr>
          <w:rFonts w:ascii="宋体" w:hAnsi="宋体" w:eastAsia="宋体" w:cs="宋体"/>
          <w:sz w:val="24"/>
          <w:highlight w:val="none"/>
        </w:rPr>
        <w:t>每天做好多媒体教室设备、会议室设备的巡查、检查工作。</w:t>
      </w:r>
    </w:p>
    <w:p w14:paraId="18A67303">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3</w:t>
      </w:r>
      <w:r>
        <w:rPr>
          <w:rFonts w:hint="eastAsia" w:ascii="宋体" w:hAnsi="宋体" w:eastAsia="宋体" w:cs="宋体"/>
          <w:sz w:val="24"/>
          <w:highlight w:val="none"/>
        </w:rPr>
        <w:t>）</w:t>
      </w:r>
      <w:r>
        <w:rPr>
          <w:rFonts w:ascii="宋体" w:hAnsi="宋体" w:eastAsia="宋体" w:cs="宋体"/>
          <w:sz w:val="24"/>
          <w:highlight w:val="none"/>
        </w:rPr>
        <w:t>每天及时对多媒体教室的故障进行处理，并做好相应记录；每天做好师生对</w:t>
      </w:r>
      <w:r>
        <w:rPr>
          <w:rFonts w:hint="eastAsia" w:ascii="宋体" w:hAnsi="宋体" w:eastAsia="宋体" w:cs="宋体"/>
          <w:sz w:val="24"/>
          <w:highlight w:val="none"/>
        </w:rPr>
        <w:t>设施设备</w:t>
      </w:r>
      <w:r>
        <w:rPr>
          <w:rFonts w:ascii="宋体" w:hAnsi="宋体" w:eastAsia="宋体" w:cs="宋体"/>
          <w:sz w:val="24"/>
          <w:highlight w:val="none"/>
        </w:rPr>
        <w:t>的借用及回收。</w:t>
      </w:r>
    </w:p>
    <w:p w14:paraId="4DF90380">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4</w:t>
      </w:r>
      <w:r>
        <w:rPr>
          <w:rFonts w:hint="eastAsia" w:ascii="宋体" w:hAnsi="宋体" w:eastAsia="宋体" w:cs="宋体"/>
          <w:sz w:val="24"/>
          <w:highlight w:val="none"/>
        </w:rPr>
        <w:t>）</w:t>
      </w:r>
      <w:r>
        <w:rPr>
          <w:rFonts w:ascii="宋体" w:hAnsi="宋体" w:eastAsia="宋体" w:cs="宋体"/>
          <w:sz w:val="24"/>
          <w:highlight w:val="none"/>
        </w:rPr>
        <w:t>每周进行一次全面检查，排除各种故障，保证会议和教学正常使用。</w:t>
      </w:r>
    </w:p>
    <w:p w14:paraId="67073247">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w:t>
      </w:r>
      <w:r>
        <w:rPr>
          <w:rFonts w:ascii="宋体" w:hAnsi="宋体" w:eastAsia="宋体" w:cs="宋体"/>
          <w:sz w:val="24"/>
          <w:highlight w:val="none"/>
        </w:rPr>
        <w:t>每月对电脑系统的维修、维护、清理及软件安装、更新、重装。</w:t>
      </w:r>
    </w:p>
    <w:p w14:paraId="1ADBA59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w:t>
      </w:r>
      <w:r>
        <w:rPr>
          <w:rFonts w:ascii="宋体" w:hAnsi="宋体" w:eastAsia="宋体" w:cs="宋体"/>
          <w:sz w:val="24"/>
          <w:highlight w:val="none"/>
        </w:rPr>
        <w:t>每学期开学前对所有多媒体投影系统、控制系统的一般性故障排除及设备清洁。</w:t>
      </w:r>
    </w:p>
    <w:p w14:paraId="323AA8F5">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7</w:t>
      </w:r>
      <w:r>
        <w:rPr>
          <w:rFonts w:hint="eastAsia" w:ascii="宋体" w:hAnsi="宋体" w:eastAsia="宋体" w:cs="宋体"/>
          <w:sz w:val="24"/>
          <w:highlight w:val="none"/>
        </w:rPr>
        <w:t>）</w:t>
      </w:r>
      <w:r>
        <w:rPr>
          <w:rFonts w:ascii="宋体" w:hAnsi="宋体" w:eastAsia="宋体" w:cs="宋体"/>
          <w:sz w:val="24"/>
          <w:highlight w:val="none"/>
        </w:rPr>
        <w:t>督促维保单位每学期进行多媒体设备滤网清洗及相关工作。</w:t>
      </w:r>
    </w:p>
    <w:p w14:paraId="67AE03A3">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8</w:t>
      </w:r>
      <w:r>
        <w:rPr>
          <w:rFonts w:hint="eastAsia" w:ascii="宋体" w:hAnsi="宋体" w:eastAsia="宋体" w:cs="宋体"/>
          <w:sz w:val="24"/>
          <w:highlight w:val="none"/>
        </w:rPr>
        <w:t>）</w:t>
      </w:r>
      <w:r>
        <w:rPr>
          <w:rFonts w:ascii="宋体" w:hAnsi="宋体" w:eastAsia="宋体" w:cs="宋体"/>
          <w:sz w:val="24"/>
          <w:highlight w:val="none"/>
        </w:rPr>
        <w:t>每学期对台账进行集中的整理并汇报相关部门。</w:t>
      </w:r>
    </w:p>
    <w:p w14:paraId="1F7A3A0A">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9</w:t>
      </w:r>
      <w:r>
        <w:rPr>
          <w:rFonts w:hint="eastAsia" w:ascii="宋体" w:hAnsi="宋体" w:eastAsia="宋体" w:cs="宋体"/>
          <w:sz w:val="24"/>
          <w:highlight w:val="none"/>
        </w:rPr>
        <w:t>）每间教室内的设备不能随意调换，维修更换的设备须放回原教室，若因特殊原因更换教室，需向采购人主管部门报告。</w:t>
      </w:r>
    </w:p>
    <w:p w14:paraId="388D781A">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w:t>
      </w:r>
      <w:r>
        <w:rPr>
          <w:rFonts w:ascii="宋体" w:hAnsi="宋体" w:eastAsia="宋体" w:cs="宋体"/>
          <w:sz w:val="24"/>
          <w:highlight w:val="none"/>
        </w:rPr>
        <w:t>0</w:t>
      </w:r>
      <w:r>
        <w:rPr>
          <w:rFonts w:hint="eastAsia" w:ascii="宋体" w:hAnsi="宋体" w:eastAsia="宋体" w:cs="宋体"/>
          <w:sz w:val="24"/>
          <w:highlight w:val="none"/>
        </w:rPr>
        <w:t>）所有教室的资产应与教室号一一对应，设备维护人员应时常进行资产的核对。报废或更换下来的旧设备，需要统一收好，不得随意丢弃。</w:t>
      </w:r>
    </w:p>
    <w:p w14:paraId="6CE97029">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 xml:space="preserve"> 绿化养护管理</w:t>
      </w:r>
    </w:p>
    <w:p w14:paraId="23AA586A">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.1 服务内容</w:t>
      </w:r>
    </w:p>
    <w:p w14:paraId="17181117">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负责</w:t>
      </w:r>
      <w:r>
        <w:rPr>
          <w:rFonts w:hint="eastAsia" w:ascii="宋体" w:hAnsi="宋体"/>
          <w:color w:val="000000" w:themeColor="text1"/>
          <w:sz w:val="24"/>
          <w:highlight w:val="none"/>
          <w14:textFill>
            <w14:solidFill>
              <w14:schemeClr w14:val="tx1"/>
            </w14:solidFill>
          </w14:textFill>
        </w:rPr>
        <w:t>第一办公楼</w:t>
      </w:r>
      <w:r>
        <w:rPr>
          <w:rFonts w:ascii="宋体" w:hAnsi="宋体"/>
          <w:color w:val="000000" w:themeColor="text1"/>
          <w:sz w:val="24"/>
          <w:highlight w:val="none"/>
          <w14:textFill>
            <w14:solidFill>
              <w14:schemeClr w14:val="tx1"/>
            </w14:solidFill>
          </w14:textFill>
        </w:rPr>
        <w:t>平台、5楼办公室</w:t>
      </w:r>
      <w:r>
        <w:rPr>
          <w:rFonts w:hint="eastAsia" w:ascii="宋体" w:hAnsi="宋体"/>
          <w:color w:val="000000" w:themeColor="text1"/>
          <w:sz w:val="24"/>
          <w:highlight w:val="none"/>
          <w14:textFill>
            <w14:solidFill>
              <w14:schemeClr w14:val="tx1"/>
            </w14:solidFill>
          </w14:textFill>
        </w:rPr>
        <w:t>、第三办公楼</w:t>
      </w:r>
      <w:r>
        <w:rPr>
          <w:rFonts w:ascii="宋体" w:hAnsi="宋体"/>
          <w:color w:val="000000" w:themeColor="text1"/>
          <w:sz w:val="24"/>
          <w:highlight w:val="none"/>
          <w14:textFill>
            <w14:solidFill>
              <w14:schemeClr w14:val="tx1"/>
            </w14:solidFill>
          </w14:textFill>
        </w:rPr>
        <w:t>绿植租摆更换、养护、鲜花造景摆放，负责</w:t>
      </w:r>
      <w:r>
        <w:rPr>
          <w:rFonts w:hint="eastAsia" w:ascii="宋体" w:hAnsi="宋体"/>
          <w:color w:val="000000" w:themeColor="text1"/>
          <w:sz w:val="24"/>
          <w:highlight w:val="none"/>
          <w14:textFill>
            <w14:solidFill>
              <w14:schemeClr w14:val="tx1"/>
            </w14:solidFill>
          </w14:textFill>
        </w:rPr>
        <w:t>第一办公楼</w:t>
      </w:r>
      <w:r>
        <w:rPr>
          <w:rFonts w:ascii="宋体" w:hAnsi="宋体"/>
          <w:color w:val="000000" w:themeColor="text1"/>
          <w:sz w:val="24"/>
          <w:highlight w:val="none"/>
          <w14:textFill>
            <w14:solidFill>
              <w14:schemeClr w14:val="tx1"/>
            </w14:solidFill>
          </w14:textFill>
        </w:rPr>
        <w:t>内庭绿化的养护、管理。</w:t>
      </w:r>
    </w:p>
    <w:p w14:paraId="4B07F641">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负责第五、第六教学楼内庭绿化的养护、管理。主要内容：绿化修剪，浇水、排水，施肥管理，杂草清除，病虫害防治，树木养护工作。</w:t>
      </w:r>
    </w:p>
    <w:p w14:paraId="6AFA4A95">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.2 服务要求</w:t>
      </w:r>
    </w:p>
    <w:p w14:paraId="29A4CBE7">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建立健全绿化养护、管理制度，建立日常养护巡视制度，做好日常养护记录。</w:t>
      </w:r>
    </w:p>
    <w:p w14:paraId="5DC6D272">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绿化从业人员须着装整齐、佩戴工卡上岗，做到工完场清，文明作业。</w:t>
      </w:r>
    </w:p>
    <w:p w14:paraId="2D571A43">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配备固定、专职的管理人员和养护人员，细化养护岗位。建立健全绿化养护、管理制度和各岗位职责，建立日常养护巡视制度，做好日常养护记录。</w:t>
      </w:r>
    </w:p>
    <w:p w14:paraId="1A99824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保持校园内绿化公共区域内的环境卫生，绿化垃圾应在作业完成后2小时内清理干净。</w:t>
      </w:r>
    </w:p>
    <w:p w14:paraId="2E4F3B1D">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确保绿化垃圾和生活垃圾分类收集和处理。</w:t>
      </w:r>
    </w:p>
    <w:p w14:paraId="732DFA9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及时施肥、浇水，保持土壤肥料、湿度适宜，满足绿化物生长要求，绿地植物存活率达到 98%以上。</w:t>
      </w:r>
    </w:p>
    <w:p w14:paraId="7BEA6DE9">
      <w:pPr>
        <w:pStyle w:val="8"/>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租摆管理：按照采购人要求，根据平台环境、采光条件及植物生长习性，合理摆放、搭配、养护</w:t>
      </w:r>
      <w:r>
        <w:rPr>
          <w:rFonts w:hint="eastAsia" w:ascii="宋体" w:hAnsi="宋体"/>
          <w:color w:val="000000" w:themeColor="text1"/>
          <w:sz w:val="24"/>
          <w:highlight w:val="none"/>
          <w14:textFill>
            <w14:solidFill>
              <w14:schemeClr w14:val="tx1"/>
            </w14:solidFill>
          </w14:textFill>
        </w:rPr>
        <w:t>第一办公楼</w:t>
      </w:r>
      <w:r>
        <w:rPr>
          <w:rFonts w:ascii="宋体" w:hAnsi="宋体"/>
          <w:color w:val="000000" w:themeColor="text1"/>
          <w:sz w:val="24"/>
          <w:highlight w:val="none"/>
          <w14:textFill>
            <w14:solidFill>
              <w14:schemeClr w14:val="tx1"/>
            </w14:solidFill>
          </w14:textFill>
        </w:rPr>
        <w:t>二楼平台租摆绿植和内庭绿化，确保植物的正常生长和环境的美观协调；负责派专业人员根据每种绿植的特征对租摆植物和内庭绿化定期进行浇水、施肥、培育、修剪枝杈及防治病虫害；根据季节及采购人要求时时更换绿植摆放品种；随时检查租摆绿植，及时更换死亡的植株</w:t>
      </w:r>
      <w:r>
        <w:rPr>
          <w:rFonts w:hint="eastAsia" w:ascii="宋体" w:hAnsi="宋体"/>
          <w:b/>
          <w:color w:val="000000" w:themeColor="text1"/>
          <w:sz w:val="24"/>
          <w:highlight w:val="none"/>
          <w14:textFill>
            <w14:solidFill>
              <w14:schemeClr w14:val="tx1"/>
            </w14:solidFill>
          </w14:textFill>
        </w:rPr>
        <w:t>（中标单位配置的绿植标准见表2标准配置，配置绿植规格绿植摆放方案必须经学校同意后再实施）</w:t>
      </w:r>
      <w:r>
        <w:rPr>
          <w:rFonts w:hint="eastAsia" w:ascii="宋体" w:hAnsi="宋体"/>
          <w:color w:val="000000" w:themeColor="text1"/>
          <w:sz w:val="24"/>
          <w:highlight w:val="none"/>
          <w14:textFill>
            <w14:solidFill>
              <w14:schemeClr w14:val="tx1"/>
            </w14:solidFill>
          </w14:textFill>
        </w:rPr>
        <w:t>。</w:t>
      </w:r>
    </w:p>
    <w:p w14:paraId="30A9FCEC">
      <w:pPr>
        <w:spacing w:line="4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表2  行政楼二楼平台绿植租摆要求（包含但不仅限于以下品种）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42"/>
        <w:gridCol w:w="2098"/>
        <w:gridCol w:w="2551"/>
      </w:tblGrid>
      <w:tr w14:paraId="1354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101507A0">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BB3995E">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名称</w:t>
            </w:r>
          </w:p>
        </w:tc>
        <w:tc>
          <w:tcPr>
            <w:tcW w:w="2098" w:type="dxa"/>
            <w:tcBorders>
              <w:top w:val="single" w:color="auto" w:sz="4" w:space="0"/>
              <w:left w:val="single" w:color="auto" w:sz="4" w:space="0"/>
              <w:bottom w:val="single" w:color="auto" w:sz="4" w:space="0"/>
              <w:right w:val="single" w:color="auto" w:sz="4" w:space="0"/>
            </w:tcBorders>
            <w:vAlign w:val="center"/>
          </w:tcPr>
          <w:p w14:paraId="1F2BA993">
            <w:pPr>
              <w:spacing w:line="420" w:lineRule="exact"/>
              <w:ind w:left="420" w:hanging="420" w:hangingChars="20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规格（高：厘米）</w:t>
            </w:r>
          </w:p>
        </w:tc>
        <w:tc>
          <w:tcPr>
            <w:tcW w:w="2551" w:type="dxa"/>
            <w:tcBorders>
              <w:top w:val="single" w:color="auto" w:sz="4" w:space="0"/>
              <w:left w:val="single" w:color="auto" w:sz="4" w:space="0"/>
              <w:bottom w:val="single" w:color="auto" w:sz="4" w:space="0"/>
              <w:right w:val="single" w:color="auto" w:sz="4" w:space="0"/>
            </w:tcBorders>
            <w:vAlign w:val="center"/>
          </w:tcPr>
          <w:p w14:paraId="2ABDF862">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数量（单位：株）</w:t>
            </w:r>
          </w:p>
        </w:tc>
      </w:tr>
      <w:tr w14:paraId="7393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tcBorders>
              <w:top w:val="single" w:color="auto" w:sz="4" w:space="0"/>
              <w:left w:val="single" w:color="auto" w:sz="4" w:space="0"/>
              <w:bottom w:val="single" w:color="auto" w:sz="4" w:space="0"/>
              <w:right w:val="single" w:color="auto" w:sz="4" w:space="0"/>
            </w:tcBorders>
          </w:tcPr>
          <w:p w14:paraId="12A525E4">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tcPr>
          <w:p w14:paraId="0D2DBDC7">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幸福树</w:t>
            </w:r>
          </w:p>
        </w:tc>
        <w:tc>
          <w:tcPr>
            <w:tcW w:w="2098" w:type="dxa"/>
            <w:tcBorders>
              <w:top w:val="single" w:color="auto" w:sz="4" w:space="0"/>
              <w:left w:val="single" w:color="auto" w:sz="4" w:space="0"/>
              <w:bottom w:val="single" w:color="auto" w:sz="4" w:space="0"/>
              <w:right w:val="single" w:color="auto" w:sz="4" w:space="0"/>
            </w:tcBorders>
          </w:tcPr>
          <w:p w14:paraId="55ADF808">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2D1BB6D0">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r>
      <w:tr w14:paraId="7D14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D3A53BE">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tcPr>
          <w:p w14:paraId="51431A1B">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绿萝</w:t>
            </w:r>
          </w:p>
        </w:tc>
        <w:tc>
          <w:tcPr>
            <w:tcW w:w="2098" w:type="dxa"/>
            <w:tcBorders>
              <w:top w:val="single" w:color="auto" w:sz="4" w:space="0"/>
              <w:left w:val="single" w:color="auto" w:sz="4" w:space="0"/>
              <w:bottom w:val="single" w:color="auto" w:sz="4" w:space="0"/>
              <w:right w:val="single" w:color="auto" w:sz="4" w:space="0"/>
            </w:tcBorders>
          </w:tcPr>
          <w:p w14:paraId="7B9E2EDB">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768AAB95">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r>
      <w:tr w14:paraId="23A3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342E9E66">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tcPr>
          <w:p w14:paraId="3330822F">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螺纹铁</w:t>
            </w:r>
          </w:p>
        </w:tc>
        <w:tc>
          <w:tcPr>
            <w:tcW w:w="2098" w:type="dxa"/>
            <w:tcBorders>
              <w:top w:val="single" w:color="auto" w:sz="4" w:space="0"/>
              <w:left w:val="single" w:color="auto" w:sz="4" w:space="0"/>
              <w:bottom w:val="single" w:color="auto" w:sz="4" w:space="0"/>
              <w:right w:val="single" w:color="auto" w:sz="4" w:space="0"/>
            </w:tcBorders>
          </w:tcPr>
          <w:p w14:paraId="50C0FE53">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4E048EF3">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r>
      <w:tr w14:paraId="1D6F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DE059D3">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tcPr>
          <w:p w14:paraId="61106545">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发财树</w:t>
            </w:r>
          </w:p>
        </w:tc>
        <w:tc>
          <w:tcPr>
            <w:tcW w:w="2098" w:type="dxa"/>
            <w:tcBorders>
              <w:top w:val="single" w:color="auto" w:sz="4" w:space="0"/>
              <w:left w:val="single" w:color="auto" w:sz="4" w:space="0"/>
              <w:bottom w:val="single" w:color="auto" w:sz="4" w:space="0"/>
              <w:right w:val="single" w:color="auto" w:sz="4" w:space="0"/>
            </w:tcBorders>
          </w:tcPr>
          <w:p w14:paraId="0811C6EA">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3AAA8DFC">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r>
      <w:tr w14:paraId="122A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E745B8B">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tcPr>
          <w:p w14:paraId="510F1A56">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绿萝</w:t>
            </w:r>
          </w:p>
        </w:tc>
        <w:tc>
          <w:tcPr>
            <w:tcW w:w="2098" w:type="dxa"/>
            <w:tcBorders>
              <w:top w:val="single" w:color="auto" w:sz="4" w:space="0"/>
              <w:left w:val="single" w:color="auto" w:sz="4" w:space="0"/>
              <w:bottom w:val="single" w:color="auto" w:sz="4" w:space="0"/>
              <w:right w:val="single" w:color="auto" w:sz="4" w:space="0"/>
            </w:tcBorders>
          </w:tcPr>
          <w:p w14:paraId="0E640AB5">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w:t>
            </w:r>
          </w:p>
        </w:tc>
        <w:tc>
          <w:tcPr>
            <w:tcW w:w="2551" w:type="dxa"/>
            <w:tcBorders>
              <w:top w:val="single" w:color="auto" w:sz="4" w:space="0"/>
              <w:left w:val="single" w:color="auto" w:sz="4" w:space="0"/>
              <w:bottom w:val="single" w:color="auto" w:sz="4" w:space="0"/>
              <w:right w:val="single" w:color="auto" w:sz="4" w:space="0"/>
            </w:tcBorders>
          </w:tcPr>
          <w:p w14:paraId="6BB13B16">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≥30</w:t>
            </w:r>
          </w:p>
        </w:tc>
      </w:tr>
      <w:tr w14:paraId="7FD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59464C3A">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tcPr>
          <w:p w14:paraId="151A3E62">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心叶藤</w:t>
            </w:r>
          </w:p>
        </w:tc>
        <w:tc>
          <w:tcPr>
            <w:tcW w:w="2098" w:type="dxa"/>
            <w:tcBorders>
              <w:top w:val="single" w:color="auto" w:sz="4" w:space="0"/>
              <w:left w:val="single" w:color="auto" w:sz="4" w:space="0"/>
              <w:bottom w:val="single" w:color="auto" w:sz="4" w:space="0"/>
              <w:right w:val="single" w:color="auto" w:sz="4" w:space="0"/>
            </w:tcBorders>
          </w:tcPr>
          <w:p w14:paraId="7112F761">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67AC5F6B">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r>
      <w:tr w14:paraId="30F7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829E519">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tcPr>
          <w:p w14:paraId="0129055C">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夏威夷椰子</w:t>
            </w:r>
          </w:p>
        </w:tc>
        <w:tc>
          <w:tcPr>
            <w:tcW w:w="2098" w:type="dxa"/>
            <w:tcBorders>
              <w:top w:val="single" w:color="auto" w:sz="4" w:space="0"/>
              <w:left w:val="single" w:color="auto" w:sz="4" w:space="0"/>
              <w:bottom w:val="single" w:color="auto" w:sz="4" w:space="0"/>
              <w:right w:val="single" w:color="auto" w:sz="4" w:space="0"/>
            </w:tcBorders>
          </w:tcPr>
          <w:p w14:paraId="5A1AADF3">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3A229E06">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≥36</w:t>
            </w:r>
          </w:p>
        </w:tc>
      </w:tr>
      <w:tr w14:paraId="6568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2EF2652">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tcPr>
          <w:p w14:paraId="2AF7D7EB">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橡皮树</w:t>
            </w:r>
          </w:p>
        </w:tc>
        <w:tc>
          <w:tcPr>
            <w:tcW w:w="2098" w:type="dxa"/>
            <w:tcBorders>
              <w:top w:val="single" w:color="auto" w:sz="4" w:space="0"/>
              <w:left w:val="single" w:color="auto" w:sz="4" w:space="0"/>
              <w:bottom w:val="single" w:color="auto" w:sz="4" w:space="0"/>
              <w:right w:val="single" w:color="auto" w:sz="4" w:space="0"/>
            </w:tcBorders>
          </w:tcPr>
          <w:p w14:paraId="2BFE3EEC">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90</w:t>
            </w:r>
          </w:p>
        </w:tc>
        <w:tc>
          <w:tcPr>
            <w:tcW w:w="2551" w:type="dxa"/>
            <w:tcBorders>
              <w:top w:val="single" w:color="auto" w:sz="4" w:space="0"/>
              <w:left w:val="single" w:color="auto" w:sz="4" w:space="0"/>
              <w:bottom w:val="single" w:color="auto" w:sz="4" w:space="0"/>
              <w:right w:val="single" w:color="auto" w:sz="4" w:space="0"/>
            </w:tcBorders>
          </w:tcPr>
          <w:p w14:paraId="4EFF3710">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w:t>
            </w:r>
          </w:p>
        </w:tc>
      </w:tr>
      <w:tr w14:paraId="24B8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EA2A0C0">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tcPr>
          <w:p w14:paraId="148D8F4F">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杜鹃</w:t>
            </w:r>
          </w:p>
        </w:tc>
        <w:tc>
          <w:tcPr>
            <w:tcW w:w="2098" w:type="dxa"/>
            <w:tcBorders>
              <w:top w:val="single" w:color="auto" w:sz="4" w:space="0"/>
              <w:left w:val="single" w:color="auto" w:sz="4" w:space="0"/>
              <w:bottom w:val="single" w:color="auto" w:sz="4" w:space="0"/>
              <w:right w:val="single" w:color="auto" w:sz="4" w:space="0"/>
            </w:tcBorders>
          </w:tcPr>
          <w:p w14:paraId="7B1E0792">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tcPr>
          <w:p w14:paraId="035721D3">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≥48</w:t>
            </w:r>
          </w:p>
        </w:tc>
      </w:tr>
      <w:tr w14:paraId="2271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EC7D97F">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tcPr>
          <w:p w14:paraId="3D361ACC">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红星凤梨</w:t>
            </w:r>
          </w:p>
        </w:tc>
        <w:tc>
          <w:tcPr>
            <w:tcW w:w="2098" w:type="dxa"/>
            <w:tcBorders>
              <w:top w:val="single" w:color="auto" w:sz="4" w:space="0"/>
              <w:left w:val="single" w:color="auto" w:sz="4" w:space="0"/>
              <w:bottom w:val="single" w:color="auto" w:sz="4" w:space="0"/>
              <w:right w:val="single" w:color="auto" w:sz="4" w:space="0"/>
            </w:tcBorders>
          </w:tcPr>
          <w:p w14:paraId="6B576632">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tcPr>
          <w:p w14:paraId="4B83773E">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≥56</w:t>
            </w:r>
          </w:p>
        </w:tc>
      </w:tr>
      <w:tr w14:paraId="7730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D2C872D">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tcPr>
          <w:p w14:paraId="64FA559A">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非洲茉莉</w:t>
            </w:r>
          </w:p>
        </w:tc>
        <w:tc>
          <w:tcPr>
            <w:tcW w:w="2098" w:type="dxa"/>
            <w:tcBorders>
              <w:top w:val="single" w:color="auto" w:sz="4" w:space="0"/>
              <w:left w:val="single" w:color="auto" w:sz="4" w:space="0"/>
              <w:bottom w:val="single" w:color="auto" w:sz="4" w:space="0"/>
              <w:right w:val="single" w:color="auto" w:sz="4" w:space="0"/>
            </w:tcBorders>
          </w:tcPr>
          <w:p w14:paraId="7F4B2E58">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tcPr>
          <w:p w14:paraId="013DD690">
            <w:pPr>
              <w:spacing w:line="42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14:paraId="415DA8CC">
      <w:pPr>
        <w:widowControl/>
        <w:spacing w:line="360" w:lineRule="auto"/>
        <w:ind w:firstLine="480" w:firstLineChars="200"/>
        <w:textAlignment w:val="baseline"/>
        <w:rPr>
          <w:rFonts w:ascii="宋体" w:hAnsi="宋体"/>
          <w:b/>
          <w:color w:val="000000" w:themeColor="text1"/>
          <w:sz w:val="24"/>
          <w:szCs w:val="24"/>
          <w:highlight w:val="none"/>
          <w14:textFill>
            <w14:solidFill>
              <w14:schemeClr w14:val="tx1"/>
            </w14:solidFill>
          </w14:textFill>
        </w:rPr>
      </w:pPr>
      <w:bookmarkStart w:id="18" w:name="_Hlk101052126"/>
      <w:bookmarkStart w:id="19" w:name="_Hlk101715565"/>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中标人应按照</w:t>
      </w:r>
      <w:bookmarkStart w:id="20" w:name="_Hlk101715943"/>
      <w:bookmarkStart w:id="21" w:name="_Hlk101051112"/>
      <w:r>
        <w:rPr>
          <w:rFonts w:hint="eastAsia" w:ascii="宋体" w:hAnsi="宋体" w:cs="宋体"/>
          <w:color w:val="000000" w:themeColor="text1"/>
          <w:sz w:val="24"/>
          <w:highlight w:val="none"/>
          <w14:textFill>
            <w14:solidFill>
              <w14:schemeClr w14:val="tx1"/>
            </w14:solidFill>
          </w14:textFill>
        </w:rPr>
        <w:t>绿化养护管理服</w:t>
      </w:r>
      <w:bookmarkEnd w:id="20"/>
      <w:r>
        <w:rPr>
          <w:rFonts w:hint="eastAsia" w:ascii="宋体" w:hAnsi="宋体" w:cs="宋体"/>
          <w:color w:val="000000" w:themeColor="text1"/>
          <w:sz w:val="24"/>
          <w:highlight w:val="none"/>
          <w14:textFill>
            <w14:solidFill>
              <w14:schemeClr w14:val="tx1"/>
            </w14:solidFill>
          </w14:textFill>
        </w:rPr>
        <w:t>务</w:t>
      </w:r>
      <w:bookmarkEnd w:id="21"/>
      <w:r>
        <w:rPr>
          <w:rFonts w:hint="eastAsia" w:ascii="宋体" w:hAnsi="宋体" w:cs="宋体"/>
          <w:color w:val="000000" w:themeColor="text1"/>
          <w:sz w:val="24"/>
          <w:highlight w:val="none"/>
          <w14:textFill>
            <w14:solidFill>
              <w14:schemeClr w14:val="tx1"/>
            </w14:solidFill>
          </w14:textFill>
        </w:rPr>
        <w:t>内容、服务要求、服务标准开展本项目绿化养护管理服务工作，</w:t>
      </w:r>
      <w:bookmarkEnd w:id="18"/>
      <w:r>
        <w:rPr>
          <w:rFonts w:hint="eastAsia" w:ascii="宋体" w:hAnsi="宋体" w:cs="宋体"/>
          <w:color w:val="000000" w:themeColor="text1"/>
          <w:sz w:val="24"/>
          <w:highlight w:val="none"/>
          <w14:textFill>
            <w14:solidFill>
              <w14:schemeClr w14:val="tx1"/>
            </w14:solidFill>
          </w14:textFill>
        </w:rPr>
        <w:t>提供绿化养护管理服务方案，方案应包含不限于人员配置及职责、管理制度、考核办法、绿化养护工作计划、绿植租摆实施方案等。</w:t>
      </w:r>
      <w:bookmarkEnd w:id="19"/>
    </w:p>
    <w:p w14:paraId="487FFC78">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.3 服务标准</w:t>
      </w:r>
    </w:p>
    <w:p w14:paraId="6BF460DC">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绿化修剪：应定期进行修剪，每年草坪修剪次数8次以上，红叶石楠、小叶女贞、金叶女贞等灌木、绿篱、灌木色带、球形植物修剪6次以上，大乔、二乔及地被、木本花卉植物每年按各种不同植物的习性进行修枝剪叶。确保草坪生长繁茂、平整，球形植物生长密实、修剪圆润，灌木、色带植物生长繁茂、修剪成形、美观，草坪高度控制在5—8厘米为宜，灌木、球形植物突生枝不超过20公分，所有植物要求生长旺盛，无枯黄枝叶。</w:t>
      </w:r>
    </w:p>
    <w:p w14:paraId="2C81CEFB">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浇水、排水：每月检查排灌情况，保证无积水、无旱情，不得因涝、旱影响植物生长。浇水次数及浇水量应根据不同植物习性进行，夏季浇水在早晚进行，避免高温季节午间浇水，冬季浇水在中午进行，干旱季节应满足植物生长所需的水份。做好冬灌及春灌，保护和爱护绿化供水设备。</w:t>
      </w:r>
    </w:p>
    <w:p w14:paraId="556CBD0A">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施肥管理：每年施肥的次数为乔木、灌木1次以上，地被植物、花草、草坪各1次以上，根部所施肥料以有机肥为主，树木施肥先挖好施肥环沟，其外径与冠幅相适应。除根外施肥外，肥料不得触及树叶，施肥在睛天进行，施肥完成后应及时回填施肥沟，施肥后需要及时浇水的要及时浇水。施肥后要做好所施肥料名称、剂量及数量的记录，不能因植物缺肥或施肥过多而影响生长。</w:t>
      </w:r>
    </w:p>
    <w:p w14:paraId="6DD3E49E">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（4）杂草清除：绿地内及时清除各种杂草，确保绿地无杂草。如使用化学除草剂必须征得校方专业管理人员同意，必须保证园林植物的安全，对土壤无污染、对人体无危害，对植物无伤害。</w:t>
      </w:r>
    </w:p>
    <w:p w14:paraId="01A53CA6">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病虫害防治：校园绿地病虫害防治应以人工防治为主，化学防治为辅。化学防治应根据植物的特性，选择对人体无害、无污染、低浓度、低残留、无气味、效果好、对植物无伤害的药物报校方专业管理人员同意方可实施。药物防治每年根据不同季节、不同植物属性和习性进行，确保校园绿地植物无病虫害症状，病虫害危害率控制在1%以内。做好深秋乔木树干涂白，涂白高度120公分，各校区内大乔和二乔木主杆及枝杆因病虫害入侵造成枯死的，物业方需及时组织人员下枝，倒树，确保校内师生及财产安全。</w:t>
      </w:r>
    </w:p>
    <w:p w14:paraId="2364A55F">
      <w:pPr>
        <w:pStyle w:val="8"/>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树木养护：对整个校园绿地区域内所有树木、植物、草坪进行养护管理。乔木修剪以自然树形为主（已成形乔木须保持树形），灌木和草坪修剪应形成观赏效果，做到平立面自然、平整，无突出感、突缺感。</w:t>
      </w:r>
    </w:p>
    <w:p w14:paraId="79E6615D">
      <w:pPr>
        <w:pStyle w:val="8"/>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环境卫生：负责及时清理绿地区内杂草、落叶、枯枝和杂物，并将清理物自行运至校园内指定地点，保持校园绿地干净整洁。</w:t>
      </w:r>
    </w:p>
    <w:p w14:paraId="6F7028E3">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7</w:t>
      </w:r>
      <w:r>
        <w:rPr>
          <w:rFonts w:hint="eastAsia" w:ascii="宋体" w:hAnsi="宋体"/>
          <w:b/>
          <w:color w:val="000000" w:themeColor="text1"/>
          <w:sz w:val="24"/>
          <w:szCs w:val="24"/>
          <w:highlight w:val="none"/>
          <w14:textFill>
            <w14:solidFill>
              <w14:schemeClr w14:val="tx1"/>
            </w14:solidFill>
          </w14:textFill>
        </w:rPr>
        <w:t>设施设备管理与维修服务</w:t>
      </w:r>
    </w:p>
    <w:p w14:paraId="1AD5985C">
      <w:pPr>
        <w:spacing w:line="4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7</w:t>
      </w:r>
      <w:r>
        <w:rPr>
          <w:rFonts w:hint="eastAsia" w:ascii="宋体" w:hAnsi="宋体"/>
          <w:b/>
          <w:color w:val="000000" w:themeColor="text1"/>
          <w:sz w:val="24"/>
          <w:szCs w:val="24"/>
          <w:highlight w:val="none"/>
          <w14:textFill>
            <w14:solidFill>
              <w14:schemeClr w14:val="tx1"/>
            </w14:solidFill>
          </w14:textFill>
        </w:rPr>
        <w:t>.1 服务内容</w:t>
      </w:r>
    </w:p>
    <w:p w14:paraId="7148E44D">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负责第一办公楼、第二办公楼、第三办公楼、第五教学楼、第六教学楼滴水线以内设施设备管理及维修、水电管理及维修、土木恢复性维修服务。具体如下：</w:t>
      </w:r>
    </w:p>
    <w:p w14:paraId="5D4EBDA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负责建筑物内墙地面、天蓬及公共门、窗、窗帘、桌椅、黑板、风扇的日常养护和日常维修，保持正常使用。</w:t>
      </w:r>
    </w:p>
    <w:p w14:paraId="3CD6ED46">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eastAsia="宋体" w:cs="宋体"/>
          <w:sz w:val="24"/>
          <w:highlight w:val="none"/>
        </w:rPr>
        <w:t>负责管理范围内设施设备、教室设备等的管理；负责对电梯、空调、消防设备的监督管理。</w:t>
      </w:r>
    </w:p>
    <w:p w14:paraId="55552095">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负责供电系统高(低)压电器设备、配电房、电线电缆、电气照明装置等设备的日常管理和维修维护。</w:t>
      </w:r>
    </w:p>
    <w:p w14:paraId="156E0606">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对室内给排水系统的设备、设施，如水泵、水箱、气压给水装置、水处理设备、消火设施、管道、管件、阀门、卫生洁具、排水管、透气管及疏通、水封设备、室内外连接排水管及其附属构筑物等进行日常维修维护。</w:t>
      </w:r>
    </w:p>
    <w:p w14:paraId="1089E3AF">
      <w:pPr>
        <w:spacing w:line="460" w:lineRule="exact"/>
        <w:ind w:firstLine="482" w:firstLineChars="200"/>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7</w:t>
      </w:r>
      <w:r>
        <w:rPr>
          <w:rFonts w:hint="eastAsia" w:ascii="宋体" w:hAnsi="宋体"/>
          <w:b/>
          <w:color w:val="000000" w:themeColor="text1"/>
          <w:sz w:val="24"/>
          <w:szCs w:val="24"/>
          <w:highlight w:val="none"/>
          <w14:textFill>
            <w14:solidFill>
              <w14:schemeClr w14:val="tx1"/>
            </w14:solidFill>
          </w14:textFill>
        </w:rPr>
        <w:t>.2 服务要求</w:t>
      </w:r>
    </w:p>
    <w:p w14:paraId="3E9DCFD4">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负责报修、维修、水电保障和解释、咨询；负责对公共设施设备进行日常管理和维修养护。</w:t>
      </w:r>
    </w:p>
    <w:p w14:paraId="40A72DD6">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有日常维修保障制度，在设施设备管理与维修服务方案提供日常维修保障制度。建立公共设施设备档案(台帐)，设施设备的运行、检查、维修、保养等记录齐全。对公共设施设备定期组织巡查，做好巡查记录。属于中标人维修范围的，及时组织修复；属于采购人维修范围或者需要更新改造的，及时编制维修、更新改造计划，向采购人提出报告与建议。</w:t>
      </w:r>
    </w:p>
    <w:p w14:paraId="663A5A3F">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给排水设施设备日常巡查和管理；负责楼栋内给排水设施设备、洁具、阀门、水龙头、给水管网等供（用）水设施设备日常管理、维修维护，确保无跑、冒、滴、漏现象，更换的用水器具须选用节能环保产品。</w:t>
      </w:r>
    </w:p>
    <w:p w14:paraId="6CD1C5D4">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负责第一办公楼喷泉设施设备的日常管理、维修维护，确保正常使用。</w:t>
      </w:r>
    </w:p>
    <w:p w14:paraId="0D1F5511">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负责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维修合格率100%；加强日常维护检修，公共使用的照明、指示灯具线路、开关要保证完好，确保用电完全；管理和维护好防雷设施。</w:t>
      </w:r>
    </w:p>
    <w:p w14:paraId="28EC9D6C">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采购人物业区域内有重要考试、重要会议等活动需水电保障、教室设施设备的运行保障，中标人根据采购人需求无条件服从，包含但不限于专项检查、活动时值守等。</w:t>
      </w:r>
    </w:p>
    <w:p w14:paraId="5C79B8D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维修人员随时在岗在位，确保水电安全运行，及时处理突发事件。</w:t>
      </w:r>
    </w:p>
    <w:p w14:paraId="21BCEC33">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容易危及人身安全的设施设备有明显警示标志和防范措施；对可能发生的各种突发设备故障有应急预案。</w:t>
      </w:r>
    </w:p>
    <w:p w14:paraId="5A703EFA">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中标人配合采购人做好节能减排工作，根据采购人需求和工作目标参与“节约型公共机构”等创建工作；配合采购人做好节能宣传，迎接各类节能相关工作的调研、检查验收等工作；加强照明系统等用电管理，使用节能灯具和用水器具；物业管理服务工作中，建立健全能源管理机构，完善节能管理制度，厉行节约用水、用电，加强维护和巡查，消除不必要的能源消耗，并指定专人使用采购人信息化管理系统对采购人能耗实施节能管理。</w:t>
      </w:r>
    </w:p>
    <w:p w14:paraId="692CF424">
      <w:pPr>
        <w:adjustRightInd w:val="0"/>
        <w:spacing w:line="560" w:lineRule="exact"/>
        <w:ind w:firstLine="480" w:firstLineChars="200"/>
        <w:textAlignment w:val="baseline"/>
        <w:rPr>
          <w:rFonts w:ascii="宋体" w:hAnsi="宋体"/>
          <w:b/>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10</w:t>
      </w:r>
      <w:r>
        <w:rPr>
          <w:rFonts w:hint="eastAsia" w:ascii="宋体" w:hAnsi="宋体"/>
          <w:bCs/>
          <w:color w:val="000000" w:themeColor="text1"/>
          <w:sz w:val="24"/>
          <w:highlight w:val="none"/>
          <w14:textFill>
            <w14:solidFill>
              <w14:schemeClr w14:val="tx1"/>
            </w14:solidFill>
          </w14:textFill>
        </w:rPr>
        <w:t>）</w:t>
      </w:r>
      <w:r>
        <w:rPr>
          <w:rFonts w:ascii="宋体" w:hAnsi="宋体" w:eastAsia="宋体" w:cs="宋体"/>
          <w:sz w:val="24"/>
          <w:highlight w:val="none"/>
        </w:rPr>
        <w:t>维修服务：负责对</w:t>
      </w:r>
      <w:r>
        <w:rPr>
          <w:rFonts w:hint="eastAsia" w:ascii="宋体" w:hAnsi="宋体" w:eastAsia="宋体" w:cs="宋体"/>
          <w:sz w:val="24"/>
          <w:highlight w:val="none"/>
        </w:rPr>
        <w:t>第一办公楼</w:t>
      </w:r>
      <w:r>
        <w:rPr>
          <w:rFonts w:ascii="宋体" w:hAnsi="宋体" w:eastAsia="宋体" w:cs="宋体"/>
          <w:sz w:val="24"/>
          <w:highlight w:val="none"/>
        </w:rPr>
        <w:t>、</w:t>
      </w:r>
      <w:r>
        <w:rPr>
          <w:rFonts w:hint="eastAsia" w:ascii="宋体" w:hAnsi="宋体" w:eastAsia="宋体" w:cs="宋体"/>
          <w:sz w:val="24"/>
          <w:highlight w:val="none"/>
        </w:rPr>
        <w:t>第二办公楼</w:t>
      </w:r>
      <w:r>
        <w:rPr>
          <w:rFonts w:ascii="宋体" w:hAnsi="宋体" w:eastAsia="宋体" w:cs="宋体"/>
          <w:sz w:val="24"/>
          <w:highlight w:val="none"/>
        </w:rPr>
        <w:t>、</w:t>
      </w:r>
      <w:r>
        <w:rPr>
          <w:rFonts w:hint="eastAsia" w:ascii="宋体" w:hAnsi="宋体" w:eastAsia="宋体" w:cs="宋体"/>
          <w:sz w:val="24"/>
          <w:highlight w:val="none"/>
        </w:rPr>
        <w:t>第三办公楼</w:t>
      </w:r>
      <w:r>
        <w:rPr>
          <w:rFonts w:ascii="宋体" w:hAnsi="宋体" w:eastAsia="宋体" w:cs="宋体"/>
          <w:sz w:val="24"/>
          <w:highlight w:val="none"/>
        </w:rPr>
        <w:t>、</w:t>
      </w:r>
      <w:r>
        <w:rPr>
          <w:rFonts w:hint="eastAsia" w:ascii="宋体" w:hAnsi="宋体" w:eastAsia="宋体" w:cs="宋体"/>
          <w:sz w:val="24"/>
          <w:highlight w:val="none"/>
        </w:rPr>
        <w:t>第五</w:t>
      </w:r>
      <w:r>
        <w:rPr>
          <w:rFonts w:ascii="宋体" w:hAnsi="宋体" w:eastAsia="宋体" w:cs="宋体"/>
          <w:sz w:val="24"/>
          <w:highlight w:val="none"/>
        </w:rPr>
        <w:t>教学楼</w:t>
      </w:r>
      <w:r>
        <w:rPr>
          <w:rFonts w:hint="eastAsia" w:ascii="宋体" w:hAnsi="宋体" w:eastAsia="宋体" w:cs="宋体"/>
          <w:sz w:val="24"/>
          <w:highlight w:val="none"/>
        </w:rPr>
        <w:t>、第六教学楼</w:t>
      </w:r>
      <w:r>
        <w:rPr>
          <w:rFonts w:ascii="宋体" w:hAnsi="宋体" w:eastAsia="宋体" w:cs="宋体"/>
          <w:sz w:val="24"/>
          <w:highlight w:val="none"/>
        </w:rPr>
        <w:t>(包括各部门办公室、会议室、实验室)内在</w:t>
      </w:r>
      <w:r>
        <w:rPr>
          <w:rFonts w:hint="eastAsia" w:ascii="宋体" w:hAnsi="宋体" w:eastAsia="宋体" w:cs="宋体"/>
          <w:sz w:val="24"/>
          <w:highlight w:val="none"/>
        </w:rPr>
        <w:t>1</w:t>
      </w:r>
      <w:r>
        <w:rPr>
          <w:rFonts w:ascii="宋体" w:hAnsi="宋体" w:eastAsia="宋体" w:cs="宋体"/>
          <w:sz w:val="24"/>
          <w:highlight w:val="none"/>
        </w:rPr>
        <w:t>000元以内(单项/件，不累计计算)的水电、土木、公共设施的恢复性维修，</w:t>
      </w:r>
      <w:r>
        <w:rPr>
          <w:rFonts w:hint="eastAsia" w:ascii="宋体" w:hAnsi="宋体" w:eastAsia="宋体" w:cs="宋体"/>
          <w:sz w:val="24"/>
          <w:highlight w:val="none"/>
        </w:rPr>
        <w:t>风扇、</w:t>
      </w:r>
      <w:r>
        <w:rPr>
          <w:rFonts w:ascii="宋体" w:hAnsi="宋体" w:eastAsia="宋体" w:cs="宋体"/>
          <w:sz w:val="24"/>
          <w:highlight w:val="none"/>
        </w:rPr>
        <w:t>灯具、水龙头、冲水阀、延时阀、脚踏阀、小便感应器、水管、插座、开关等易耗品由</w:t>
      </w:r>
      <w:r>
        <w:rPr>
          <w:rFonts w:hint="eastAsia" w:ascii="宋体" w:hAnsi="宋体" w:eastAsia="宋体" w:cs="宋体"/>
          <w:sz w:val="24"/>
          <w:highlight w:val="none"/>
        </w:rPr>
        <w:t>中标人</w:t>
      </w:r>
      <w:r>
        <w:rPr>
          <w:rFonts w:ascii="宋体" w:hAnsi="宋体" w:eastAsia="宋体" w:cs="宋体"/>
          <w:sz w:val="24"/>
          <w:highlight w:val="none"/>
        </w:rPr>
        <w:t>承担。</w:t>
      </w:r>
      <w:r>
        <w:rPr>
          <w:rFonts w:hint="eastAsia" w:ascii="宋体" w:hAnsi="宋体" w:eastAsia="宋体" w:cs="宋体"/>
          <w:sz w:val="24"/>
          <w:highlight w:val="none"/>
        </w:rPr>
        <w:t>中标人需根据采购人改造后的设施设备（如风扇、感应用水器具、小厨宝、平板灯等）不断更新维修材料，不得以未采购或未使用过拒绝维修维护。</w:t>
      </w:r>
      <w:r>
        <w:rPr>
          <w:rFonts w:hint="eastAsia" w:ascii="宋体" w:hAnsi="宋体"/>
          <w:b/>
          <w:bCs/>
          <w:color w:val="000000" w:themeColor="text1"/>
          <w:sz w:val="24"/>
          <w:szCs w:val="24"/>
          <w:highlight w:val="none"/>
          <w14:textFill>
            <w14:solidFill>
              <w14:schemeClr w14:val="tx1"/>
            </w14:solidFill>
          </w14:textFill>
        </w:rPr>
        <w:t>（提供承诺函）</w:t>
      </w:r>
    </w:p>
    <w:p w14:paraId="67E3E301">
      <w:pPr>
        <w:pStyle w:val="8"/>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7</w:t>
      </w:r>
      <w:r>
        <w:rPr>
          <w:rFonts w:hint="eastAsia" w:ascii="宋体" w:hAnsi="宋体"/>
          <w:b/>
          <w:color w:val="000000" w:themeColor="text1"/>
          <w:sz w:val="24"/>
          <w:szCs w:val="24"/>
          <w:highlight w:val="none"/>
          <w14:textFill>
            <w14:solidFill>
              <w14:schemeClr w14:val="tx1"/>
            </w14:solidFill>
          </w14:textFill>
        </w:rPr>
        <w:t>.3服务标准</w:t>
      </w:r>
    </w:p>
    <w:p w14:paraId="470D5A6B">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24小时值班值守</w:t>
      </w:r>
    </w:p>
    <w:p w14:paraId="293E06D0">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设置 24 小时报修电话，配备专业人员，报修记录规范。水电工24小时值班制，接到水电故障报修须10分钟内到达现场。一般维修任务不超过24小时。</w:t>
      </w:r>
    </w:p>
    <w:p w14:paraId="7CF068B2">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公共区域、教室、设施设备</w:t>
      </w:r>
    </w:p>
    <w:p w14:paraId="2F72812C">
      <w:pPr>
        <w:adjustRightInd w:val="0"/>
        <w:spacing w:line="560" w:lineRule="exact"/>
        <w:ind w:firstLine="480" w:firstLineChars="200"/>
        <w:textAlignment w:val="baseline"/>
        <w:rPr>
          <w:rFonts w:ascii="宋体" w:hAnsi="宋体" w:eastAsia="宋体" w:cs="宋体"/>
          <w:sz w:val="24"/>
          <w:highlight w:val="none"/>
        </w:rPr>
      </w:pPr>
      <w:bookmarkStart w:id="22" w:name="OLE_LINK8"/>
      <w:bookmarkStart w:id="23" w:name="OLE_LINK9"/>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bookmarkEnd w:id="22"/>
      <w:bookmarkEnd w:id="23"/>
      <w:r>
        <w:rPr>
          <w:rFonts w:hint="eastAsia" w:ascii="宋体" w:hAnsi="宋体" w:eastAsia="宋体" w:cs="宋体"/>
          <w:sz w:val="24"/>
          <w:highlight w:val="none"/>
        </w:rPr>
        <w:t>每月检修建筑物内墙地面、天蓬及公共门、窗、窗帘、桌椅、黑板、风扇等，做好</w:t>
      </w:r>
      <w:r>
        <w:rPr>
          <w:rFonts w:ascii="宋体" w:hAnsi="宋体" w:eastAsia="宋体" w:cs="宋体"/>
          <w:sz w:val="24"/>
          <w:highlight w:val="none"/>
        </w:rPr>
        <w:t>日常养护</w:t>
      </w:r>
      <w:r>
        <w:rPr>
          <w:rFonts w:hint="eastAsia" w:ascii="宋体" w:hAnsi="宋体" w:eastAsia="宋体" w:cs="宋体"/>
          <w:sz w:val="24"/>
          <w:highlight w:val="none"/>
        </w:rPr>
        <w:t>、及时维修</w:t>
      </w:r>
      <w:r>
        <w:rPr>
          <w:rFonts w:ascii="宋体" w:hAnsi="宋体" w:eastAsia="宋体" w:cs="宋体"/>
          <w:sz w:val="24"/>
          <w:highlight w:val="none"/>
        </w:rPr>
        <w:t>，保证正常使用</w:t>
      </w:r>
      <w:r>
        <w:rPr>
          <w:rFonts w:hint="eastAsia" w:ascii="宋体" w:hAnsi="宋体" w:eastAsia="宋体" w:cs="宋体"/>
          <w:sz w:val="24"/>
          <w:highlight w:val="none"/>
        </w:rPr>
        <w:t>。若需更换，须与更换前保持一致或优于更换前。</w:t>
      </w:r>
    </w:p>
    <w:p w14:paraId="0BBBFEE9">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每学期开学期、大型考试前对所有教室门、窗、窗帘、桌椅、黑板、风扇进行全面检查和及时维修，平时不定期进行排查，保持完好率达100%。</w:t>
      </w:r>
    </w:p>
    <w:p w14:paraId="26621858">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水电保障</w:t>
      </w:r>
    </w:p>
    <w:p w14:paraId="56EDD769">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10kV高学路西大门高压配电站分别供第五教学楼（2台1250kVA变压器）、第六教学楼（2台1600kVA变压器）、第一办公楼（1台800kVA箱式变电站）用电需求。</w:t>
      </w:r>
    </w:p>
    <w:p w14:paraId="5DD88BE6">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负责第五教学楼2台变压器、第六教学楼2台变压器日常管理、预防性试验（一年一次，停电时间由采购人确定）、维修维护、巡视检查等。配电房和供配电设施设备详情以现场踏勘为准，采购人提供水电图纸（仅供参考）。</w:t>
      </w:r>
    </w:p>
    <w:p w14:paraId="3886DBD4">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负责低压配电屏、配电房、开关柜、电管井等区域设施设备日常管理、巡视检查、维修维护等，确保物业区域正常供电。</w:t>
      </w:r>
    </w:p>
    <w:p w14:paraId="30681A29">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负责楼栋内所有区域照明灯具、开关插座、配电箱等所有供（用）电设施设备的日常管理、巡视检查、维修维护等。</w:t>
      </w:r>
    </w:p>
    <w:p w14:paraId="2294B160">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定期和不定期对配电房、高低压配电柜、配电箱、控制柜及线路巡视检查，及时排除安全隐患。</w:t>
      </w:r>
    </w:p>
    <w:p w14:paraId="022D2C36">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更换的用电设备须选用节能环保产品，型号和亮度须与更换前保持一致或优于更换前，不得以未采购或未使用过拒绝维修维护。</w:t>
      </w:r>
    </w:p>
    <w:p w14:paraId="0A18E101">
      <w:pPr>
        <w:adjustRightInd w:val="0"/>
        <w:spacing w:line="560" w:lineRule="exact"/>
        <w:ind w:firstLine="480" w:firstLineChars="200"/>
        <w:textAlignment w:val="baseline"/>
        <w:rPr>
          <w:rFonts w:ascii="宋体" w:hAnsi="宋体" w:eastAsia="宋体" w:cs="宋体"/>
          <w:sz w:val="24"/>
          <w:highlight w:val="none"/>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sz w:val="24"/>
          <w:highlight w:val="none"/>
        </w:rPr>
        <w:t>风扇、灯具、水龙头、冲水阀、延时阀、脚踏阀、小便感应器、水管、插座、开关、小厨宝、平板灯等易耗品的更换，须与更换前保持一致或优于更换前，不得以未采购或未使用过拒绝维修维护。</w:t>
      </w:r>
    </w:p>
    <w:p w14:paraId="2A9B06B1">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电梯</w:t>
      </w:r>
    </w:p>
    <w:p w14:paraId="28ED1945">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保持载人电梯正常运行。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电梯设备、设施处于良好状态。</w:t>
      </w:r>
    </w:p>
    <w:p w14:paraId="289BDA5E">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中央空调</w:t>
      </w:r>
    </w:p>
    <w:p w14:paraId="469CBD54">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负责第一办公楼、第二办公楼、第三办公楼中央空调运行管理，保证空调系统安全运行和正常使用，运行中无超标噪音和严重滴漏水现象；定期检查，保证空调设备、设施处于良好状态；空调系统出现运行故障后，通知维保单位及时到达现场维修，并做好记录。</w:t>
      </w:r>
    </w:p>
    <w:p w14:paraId="4D867654">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w:t>
      </w:r>
      <w:r>
        <w:rPr>
          <w:rFonts w:hint="eastAsia" w:ascii="宋体" w:hAnsi="宋体" w:eastAsia="宋体" w:cs="宋体"/>
          <w:sz w:val="24"/>
          <w:highlight w:val="none"/>
        </w:rPr>
        <w:t>外来施工管理</w:t>
      </w:r>
    </w:p>
    <w:p w14:paraId="31237EA3">
      <w:pPr>
        <w:adjustRightInd w:val="0"/>
        <w:spacing w:line="560" w:lineRule="exact"/>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采购人主管部门。</w:t>
      </w:r>
    </w:p>
    <w:p w14:paraId="64C37F6F">
      <w:pPr>
        <w:pStyle w:val="8"/>
        <w:spacing w:line="360" w:lineRule="auto"/>
        <w:rPr>
          <w:b/>
          <w:bCs/>
          <w:color w:val="000000" w:themeColor="text1"/>
          <w:sz w:val="24"/>
          <w:szCs w:val="24"/>
          <w:highlight w:val="none"/>
          <w14:textFill>
            <w14:solidFill>
              <w14:schemeClr w14:val="tx1"/>
            </w14:solidFill>
          </w14:textFill>
        </w:rPr>
      </w:pPr>
      <w:r>
        <w:rPr>
          <w:b/>
          <w:bCs/>
          <w:color w:val="000000" w:themeColor="text1"/>
          <w:highlight w:val="none"/>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 xml:space="preserve"> 3.8</w:t>
      </w:r>
      <w:r>
        <w:rPr>
          <w:rFonts w:hint="eastAsia"/>
          <w:b/>
          <w:bCs/>
          <w:color w:val="000000" w:themeColor="text1"/>
          <w:sz w:val="24"/>
          <w:szCs w:val="24"/>
          <w:highlight w:val="none"/>
          <w14:textFill>
            <w14:solidFill>
              <w14:schemeClr w14:val="tx1"/>
            </w14:solidFill>
          </w14:textFill>
        </w:rPr>
        <w:t>应急处置服务</w:t>
      </w:r>
    </w:p>
    <w:p w14:paraId="308F5EFB">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中标人应协助采购人处理各类突发事件，包含给排水系统故障、供配电系统故障、电梯系统故障等、防洪防汛、电梯困人、消防应急预案、新冠疫情防控、各类常见紧急情况等。</w:t>
      </w:r>
    </w:p>
    <w:p w14:paraId="31B7ED95">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中标人须制定各类突发事件处置预案，建立应急队伍组织体系和规章制度，明确各应急岗位职责，发生事故时候的紧急措施和善后处理。</w:t>
      </w:r>
    </w:p>
    <w:p w14:paraId="7D7257ED">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中标人须提供针对本项目实际情况的新冠疫情防控方案，方案包括组织架构、职责、重点岗位疫情防控措施及要点、项目物业人员自身疫情防范措施、疫情防控人员及物资保障等。</w:t>
      </w:r>
    </w:p>
    <w:p w14:paraId="37C09068">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每季度至少1次对应急管理组织内人员进行专项培训，掌握必备应急知识。</w:t>
      </w:r>
    </w:p>
    <w:p w14:paraId="756CFF07">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当发生突发性事件时，在向比选人报告的同时应同时启动应急预案进行处置，同时全力配合比选人保护人、财、物的安全。</w:t>
      </w:r>
    </w:p>
    <w:p w14:paraId="57B119C0">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落实消防安全事故应急要求，重特大消防事故为零、及时消除或上报消防隐患、消防通道保持通畅、妥善应对消防事故。</w:t>
      </w:r>
    </w:p>
    <w:p w14:paraId="41DD6110">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安全生产及灾害预防。建立安全生产规章制度和操作规程，普及安全生产知识，安全用电、用气、安全操作设备及机具。提供暴雨或灾害性天气应急预案应包含以下应急措施：对露天设施的抗强风能力进行检查和加固；对集水井水泵运转情况进行检查，保证正常排涝；对排水系统进行检查，确保排水通畅；准备必要的抢险物资；安排值班人员进行巡查等。</w:t>
      </w:r>
    </w:p>
    <w:p w14:paraId="7C8DF505">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执行重大事件报告制度，根据成都市相关规定和学校规定程序进行报告。</w:t>
      </w:r>
    </w:p>
    <w:p w14:paraId="0C74F0B5">
      <w:pPr>
        <w:pStyle w:val="8"/>
        <w:numPr>
          <w:ilvl w:val="0"/>
          <w:numId w:val="3"/>
        </w:num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对服务人员进行应急预案培训，定期组织预案演练；维持学校安全和正常的教育教学秩序，有效应对突发事件。</w:t>
      </w:r>
    </w:p>
    <w:p w14:paraId="3CB9A82B">
      <w:pPr>
        <w:spacing w:line="460" w:lineRule="exact"/>
        <w:ind w:firstLine="482" w:firstLineChars="200"/>
        <w:rPr>
          <w:b/>
          <w:bCs/>
          <w:sz w:val="24"/>
          <w:szCs w:val="24"/>
          <w:highlight w:val="none"/>
        </w:rPr>
      </w:pPr>
      <w:r>
        <w:rPr>
          <w:rFonts w:hint="eastAsia"/>
          <w:b/>
          <w:bCs/>
          <w:sz w:val="24"/>
          <w:szCs w:val="24"/>
          <w:highlight w:val="none"/>
        </w:rPr>
        <w:t>3.</w:t>
      </w:r>
      <w:r>
        <w:rPr>
          <w:b/>
          <w:bCs/>
          <w:sz w:val="24"/>
          <w:szCs w:val="24"/>
          <w:highlight w:val="none"/>
        </w:rPr>
        <w:t>9</w:t>
      </w:r>
      <w:r>
        <w:rPr>
          <w:rFonts w:hint="eastAsia"/>
          <w:b/>
          <w:bCs/>
          <w:sz w:val="24"/>
          <w:szCs w:val="24"/>
          <w:highlight w:val="none"/>
        </w:rPr>
        <w:t>人员配置要求</w:t>
      </w:r>
    </w:p>
    <w:p w14:paraId="611D7294">
      <w:pPr>
        <w:spacing w:line="460" w:lineRule="exact"/>
        <w:ind w:firstLine="480" w:firstLineChars="200"/>
        <w:jc w:val="left"/>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人员配置总人数不得低于9</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人（见表3）。</w:t>
      </w:r>
      <w:r>
        <w:rPr>
          <w:rFonts w:hint="eastAsia"/>
          <w:b/>
          <w:color w:val="000000" w:themeColor="text1"/>
          <w:sz w:val="24"/>
          <w:szCs w:val="24"/>
          <w:highlight w:val="none"/>
          <w14:textFill>
            <w14:solidFill>
              <w14:schemeClr w14:val="tx1"/>
            </w14:solidFill>
          </w14:textFill>
        </w:rPr>
        <w:t>（提供承诺函）</w:t>
      </w:r>
    </w:p>
    <w:p w14:paraId="704A43EC">
      <w:pPr>
        <w:spacing w:line="46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 xml:space="preserve">表3 </w:t>
      </w:r>
      <w:r>
        <w:rPr>
          <w:rFonts w:hint="eastAsia" w:ascii="宋体" w:hAnsi="宋体"/>
          <w:color w:val="000000" w:themeColor="text1"/>
          <w:highlight w:val="none"/>
          <w14:textFill>
            <w14:solidFill>
              <w14:schemeClr w14:val="tx1"/>
            </w14:solidFill>
          </w14:textFill>
        </w:rPr>
        <w:t>物业管理人员配置要求</w:t>
      </w:r>
    </w:p>
    <w:tbl>
      <w:tblPr>
        <w:tblStyle w:val="1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9"/>
        <w:gridCol w:w="2970"/>
        <w:gridCol w:w="4238"/>
      </w:tblGrid>
      <w:tr w14:paraId="3F06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55847FE7">
            <w:pPr>
              <w:spacing w:line="273" w:lineRule="auto"/>
              <w:jc w:val="center"/>
              <w:rPr>
                <w:rFonts w:ascii="宋体" w:hAnsi="宋体"/>
                <w:highlight w:val="none"/>
              </w:rPr>
            </w:pPr>
            <w:bookmarkStart w:id="24" w:name="_Hlk101826393"/>
            <w:r>
              <w:rPr>
                <w:rFonts w:hint="eastAsia" w:ascii="宋体" w:hAnsi="宋体"/>
                <w:highlight w:val="none"/>
              </w:rPr>
              <w:t>所需岗位</w:t>
            </w:r>
          </w:p>
        </w:tc>
        <w:tc>
          <w:tcPr>
            <w:tcW w:w="709" w:type="dxa"/>
            <w:tcBorders>
              <w:top w:val="single" w:color="auto" w:sz="4" w:space="0"/>
              <w:left w:val="single" w:color="auto" w:sz="4" w:space="0"/>
              <w:bottom w:val="single" w:color="auto" w:sz="4" w:space="0"/>
              <w:right w:val="single" w:color="auto" w:sz="4" w:space="0"/>
            </w:tcBorders>
            <w:vAlign w:val="center"/>
          </w:tcPr>
          <w:p w14:paraId="2EFD3DB0">
            <w:pPr>
              <w:spacing w:line="273" w:lineRule="auto"/>
              <w:jc w:val="center"/>
              <w:rPr>
                <w:rFonts w:ascii="宋体" w:hAnsi="宋体"/>
                <w:highlight w:val="none"/>
              </w:rPr>
            </w:pPr>
            <w:r>
              <w:rPr>
                <w:rFonts w:hint="eastAsia" w:ascii="宋体" w:hAnsi="宋体"/>
                <w:highlight w:val="none"/>
              </w:rPr>
              <w:t>所需</w:t>
            </w:r>
          </w:p>
          <w:p w14:paraId="5B829023">
            <w:pPr>
              <w:spacing w:line="273" w:lineRule="auto"/>
              <w:jc w:val="center"/>
              <w:rPr>
                <w:rFonts w:ascii="宋体" w:hAnsi="宋体"/>
                <w:highlight w:val="none"/>
              </w:rPr>
            </w:pPr>
            <w:r>
              <w:rPr>
                <w:rFonts w:hint="eastAsia" w:ascii="宋体" w:hAnsi="宋体"/>
                <w:highlight w:val="none"/>
              </w:rPr>
              <w:t>人数</w:t>
            </w:r>
          </w:p>
        </w:tc>
        <w:tc>
          <w:tcPr>
            <w:tcW w:w="2970" w:type="dxa"/>
            <w:tcBorders>
              <w:top w:val="single" w:color="auto" w:sz="4" w:space="0"/>
              <w:left w:val="single" w:color="auto" w:sz="4" w:space="0"/>
              <w:bottom w:val="single" w:color="auto" w:sz="4" w:space="0"/>
              <w:right w:val="single" w:color="auto" w:sz="4" w:space="0"/>
            </w:tcBorders>
            <w:vAlign w:val="center"/>
          </w:tcPr>
          <w:p w14:paraId="5CC30504">
            <w:pPr>
              <w:spacing w:line="273" w:lineRule="auto"/>
              <w:jc w:val="center"/>
              <w:rPr>
                <w:rFonts w:ascii="宋体" w:hAnsi="宋体"/>
                <w:highlight w:val="none"/>
              </w:rPr>
            </w:pPr>
            <w:r>
              <w:rPr>
                <w:rFonts w:hint="eastAsia" w:ascii="宋体" w:hAnsi="宋体"/>
                <w:highlight w:val="none"/>
              </w:rPr>
              <w:t>工作职责</w:t>
            </w:r>
          </w:p>
        </w:tc>
        <w:tc>
          <w:tcPr>
            <w:tcW w:w="4238" w:type="dxa"/>
            <w:tcBorders>
              <w:top w:val="single" w:color="auto" w:sz="4" w:space="0"/>
              <w:left w:val="single" w:color="auto" w:sz="4" w:space="0"/>
              <w:bottom w:val="single" w:color="auto" w:sz="4" w:space="0"/>
              <w:right w:val="single" w:color="auto" w:sz="4" w:space="0"/>
            </w:tcBorders>
            <w:vAlign w:val="center"/>
          </w:tcPr>
          <w:p w14:paraId="71E68AE2">
            <w:pPr>
              <w:spacing w:line="273" w:lineRule="auto"/>
              <w:jc w:val="center"/>
              <w:rPr>
                <w:rFonts w:ascii="宋体" w:hAnsi="宋体"/>
                <w:highlight w:val="none"/>
              </w:rPr>
            </w:pPr>
            <w:r>
              <w:rPr>
                <w:rFonts w:hint="eastAsia" w:ascii="宋体" w:hAnsi="宋体"/>
                <w:highlight w:val="none"/>
              </w:rPr>
              <w:t>所需要求</w:t>
            </w:r>
          </w:p>
        </w:tc>
      </w:tr>
      <w:tr w14:paraId="53DA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40E96A69">
            <w:pPr>
              <w:spacing w:line="273" w:lineRule="auto"/>
              <w:rPr>
                <w:rFonts w:ascii="宋体" w:hAnsi="宋体"/>
                <w:highlight w:val="none"/>
              </w:rPr>
            </w:pPr>
            <w:r>
              <w:rPr>
                <w:rFonts w:hint="eastAsia" w:ascii="宋体" w:hAnsi="宋体"/>
                <w:highlight w:val="none"/>
              </w:rPr>
              <w:t>项目经理</w:t>
            </w:r>
          </w:p>
        </w:tc>
        <w:tc>
          <w:tcPr>
            <w:tcW w:w="709" w:type="dxa"/>
            <w:tcBorders>
              <w:top w:val="single" w:color="auto" w:sz="4" w:space="0"/>
              <w:left w:val="single" w:color="auto" w:sz="4" w:space="0"/>
              <w:bottom w:val="single" w:color="auto" w:sz="4" w:space="0"/>
              <w:right w:val="single" w:color="auto" w:sz="4" w:space="0"/>
            </w:tcBorders>
            <w:vAlign w:val="center"/>
          </w:tcPr>
          <w:p w14:paraId="212C64EA">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5415FA43">
            <w:pPr>
              <w:spacing w:line="273" w:lineRule="auto"/>
              <w:rPr>
                <w:rFonts w:ascii="宋体" w:hAnsi="宋体"/>
                <w:highlight w:val="none"/>
              </w:rPr>
            </w:pPr>
            <w:r>
              <w:rPr>
                <w:rFonts w:hint="eastAsia" w:ascii="宋体" w:hAnsi="宋体"/>
                <w:highlight w:val="none"/>
              </w:rPr>
              <w:t>⑴对物业服务所需人员、工作进行全面管理，以及协调统筹安排其他各项工作。</w:t>
            </w:r>
          </w:p>
          <w:p w14:paraId="1A626DCC">
            <w:pPr>
              <w:spacing w:line="273" w:lineRule="auto"/>
              <w:rPr>
                <w:rFonts w:ascii="宋体" w:hAnsi="宋体"/>
                <w:highlight w:val="none"/>
              </w:rPr>
            </w:pPr>
            <w:r>
              <w:rPr>
                <w:rFonts w:hint="eastAsia" w:ascii="宋体" w:hAnsi="宋体"/>
                <w:highlight w:val="none"/>
              </w:rPr>
              <w:t>⑵负责项目员工的管理、指导、培训及考核评估。</w:t>
            </w:r>
          </w:p>
          <w:p w14:paraId="2FD37BCD">
            <w:pPr>
              <w:numPr>
                <w:ilvl w:val="0"/>
                <w:numId w:val="4"/>
              </w:numPr>
              <w:spacing w:line="274" w:lineRule="auto"/>
              <w:ind w:left="0" w:firstLine="0"/>
              <w:rPr>
                <w:rFonts w:ascii="宋体" w:hAnsi="宋体"/>
                <w:highlight w:val="none"/>
              </w:rPr>
            </w:pPr>
            <w:r>
              <w:rPr>
                <w:rFonts w:hint="eastAsia" w:ascii="宋体" w:hAnsi="宋体"/>
                <w:highlight w:val="none"/>
              </w:rPr>
              <w:t>负责与各级主管部门的沟通协调工作。</w:t>
            </w:r>
          </w:p>
        </w:tc>
        <w:tc>
          <w:tcPr>
            <w:tcW w:w="4238" w:type="dxa"/>
            <w:tcBorders>
              <w:top w:val="single" w:color="auto" w:sz="4" w:space="0"/>
              <w:left w:val="single" w:color="auto" w:sz="4" w:space="0"/>
              <w:bottom w:val="single" w:color="auto" w:sz="4" w:space="0"/>
              <w:right w:val="single" w:color="auto" w:sz="4" w:space="0"/>
            </w:tcBorders>
            <w:vAlign w:val="center"/>
          </w:tcPr>
          <w:p w14:paraId="112CF0B6">
            <w:pPr>
              <w:spacing w:line="273" w:lineRule="auto"/>
              <w:rPr>
                <w:rFonts w:ascii="宋体" w:hAnsi="宋体"/>
                <w:highlight w:val="none"/>
              </w:rPr>
            </w:pPr>
            <w:r>
              <w:rPr>
                <w:rFonts w:hint="eastAsia" w:ascii="宋体" w:hAnsi="宋体"/>
                <w:highlight w:val="none"/>
              </w:rPr>
              <w:t>★（1）男性，身体健康，≤50岁；女性，身体健康，≤</w:t>
            </w:r>
            <w:r>
              <w:rPr>
                <w:rFonts w:hint="eastAsia" w:ascii="宋体" w:hAnsi="宋体"/>
                <w:highlight w:val="none"/>
                <w:lang w:val="en-US" w:eastAsia="zh-CN"/>
              </w:rPr>
              <w:t>45</w:t>
            </w:r>
            <w:r>
              <w:rPr>
                <w:rFonts w:hint="eastAsia" w:ascii="宋体" w:hAnsi="宋体"/>
                <w:highlight w:val="none"/>
              </w:rPr>
              <w:t>岁</w:t>
            </w:r>
          </w:p>
          <w:p w14:paraId="105A2CDD">
            <w:pPr>
              <w:spacing w:line="273" w:lineRule="auto"/>
              <w:rPr>
                <w:rFonts w:ascii="宋体" w:hAnsi="宋体"/>
                <w:highlight w:val="none"/>
              </w:rPr>
            </w:pPr>
            <w:r>
              <w:rPr>
                <w:rFonts w:hint="eastAsia" w:ascii="宋体" w:hAnsi="宋体"/>
                <w:highlight w:val="none"/>
              </w:rPr>
              <w:t>（提供有效身份证复印件）。</w:t>
            </w:r>
          </w:p>
          <w:p w14:paraId="244C1DD4">
            <w:pPr>
              <w:pStyle w:val="61"/>
              <w:jc w:val="both"/>
              <w:rPr>
                <w:rFonts w:hint="default" w:ascii="宋体" w:hAnsi="宋体"/>
                <w:highlight w:val="none"/>
              </w:rPr>
            </w:pPr>
            <w:r>
              <w:rPr>
                <w:rFonts w:ascii="宋体" w:hAnsi="宋体"/>
                <w:highlight w:val="none"/>
              </w:rPr>
              <w:t>★（2）</w:t>
            </w:r>
            <w:r>
              <w:rPr>
                <w:rFonts w:ascii="宋体" w:hAnsi="宋体" w:eastAsia="宋体" w:cs="宋体"/>
                <w:sz w:val="21"/>
                <w:szCs w:val="21"/>
                <w:highlight w:val="none"/>
                <w:lang w:eastAsia="zh-CN"/>
              </w:rPr>
              <w:t>具有人社部颁发物业管理师资格证书或人社部门备案的社会培训评价组织颁发的物业管理（师）员职业技能等级证书，具有政府应急管理部门颁发的安全生产知识和管理能力考核合格证。（提供证件复印件）</w:t>
            </w:r>
          </w:p>
          <w:p w14:paraId="324FF4E4">
            <w:pPr>
              <w:spacing w:line="273" w:lineRule="auto"/>
              <w:rPr>
                <w:rFonts w:ascii="宋体" w:hAnsi="宋体"/>
                <w:highlight w:val="none"/>
              </w:rPr>
            </w:pPr>
            <w:r>
              <w:rPr>
                <w:rFonts w:hint="eastAsia" w:ascii="宋体" w:hAnsi="宋体"/>
                <w:highlight w:val="none"/>
              </w:rPr>
              <w:t>★（3）具有本科及以上学历。（提供学历证书复印件）</w:t>
            </w:r>
          </w:p>
          <w:p w14:paraId="1A0C37F1">
            <w:pPr>
              <w:spacing w:line="273" w:lineRule="auto"/>
              <w:rPr>
                <w:rFonts w:ascii="宋体" w:hAnsi="宋体"/>
                <w:highlight w:val="none"/>
              </w:rPr>
            </w:pPr>
            <w:r>
              <w:rPr>
                <w:rFonts w:hint="eastAsia" w:ascii="宋体" w:hAnsi="宋体"/>
                <w:highlight w:val="none"/>
              </w:rPr>
              <w:t>★（4）具有不低于2年非住宅物业管理面积10万㎡以上的经验。（提供证明材料，内容应该明确拟任人员姓名、业主名称、服务时间及任职岗位等）</w:t>
            </w:r>
          </w:p>
          <w:p w14:paraId="58901751">
            <w:pPr>
              <w:spacing w:line="273" w:lineRule="auto"/>
              <w:rPr>
                <w:rFonts w:ascii="宋体" w:hAnsi="宋体"/>
                <w:highlight w:val="none"/>
              </w:rPr>
            </w:pPr>
            <w:r>
              <w:rPr>
                <w:rFonts w:hint="eastAsia" w:ascii="宋体" w:hAnsi="宋体"/>
                <w:highlight w:val="none"/>
              </w:rPr>
              <w:t>（5）对工作有较强的管理和协调能力，责任心强。</w:t>
            </w:r>
          </w:p>
          <w:p w14:paraId="58920A47">
            <w:pPr>
              <w:spacing w:line="273" w:lineRule="auto"/>
              <w:rPr>
                <w:rFonts w:ascii="宋体" w:hAnsi="宋体"/>
                <w:highlight w:val="none"/>
              </w:rPr>
            </w:pPr>
            <w:r>
              <w:rPr>
                <w:rFonts w:hint="eastAsia" w:ascii="宋体" w:hAnsi="宋体"/>
                <w:highlight w:val="none"/>
              </w:rPr>
              <w:t>★（6）长期驻点工作。</w:t>
            </w:r>
          </w:p>
          <w:p w14:paraId="05D5F6D6">
            <w:pPr>
              <w:pStyle w:val="8"/>
              <w:rPr>
                <w:rFonts w:ascii="宋体" w:hAnsi="宋体"/>
                <w:highlight w:val="none"/>
              </w:rPr>
            </w:pPr>
            <w:r>
              <w:rPr>
                <w:rFonts w:hint="eastAsia" w:ascii="宋体" w:hAnsi="宋体"/>
                <w:highlight w:val="none"/>
              </w:rPr>
              <w:t>(7)工作时间：工作日在岗，周末双休日及法定节假日，项目经理及主管，至少安排1人轮流现场值班。</w:t>
            </w:r>
          </w:p>
          <w:p w14:paraId="19A21C49">
            <w:pPr>
              <w:spacing w:line="273" w:lineRule="auto"/>
              <w:rPr>
                <w:rFonts w:ascii="宋体" w:hAnsi="宋体"/>
                <w:highlight w:val="none"/>
              </w:rPr>
            </w:pPr>
            <w:r>
              <w:rPr>
                <w:rFonts w:hint="eastAsia" w:ascii="宋体" w:hAnsi="宋体"/>
                <w:highlight w:val="none"/>
              </w:rPr>
              <w:t>提供人员202</w:t>
            </w:r>
            <w:r>
              <w:rPr>
                <w:rFonts w:ascii="宋体" w:hAnsi="宋体"/>
                <w:highlight w:val="none"/>
              </w:rPr>
              <w:t>5</w:t>
            </w:r>
            <w:r>
              <w:rPr>
                <w:rFonts w:hint="eastAsia" w:ascii="宋体" w:hAnsi="宋体"/>
                <w:highlight w:val="none"/>
              </w:rPr>
              <w:t>年任意连续3个月社保证明。</w:t>
            </w:r>
          </w:p>
        </w:tc>
      </w:tr>
      <w:tr w14:paraId="4ED8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028EDE66">
            <w:pPr>
              <w:spacing w:line="273" w:lineRule="auto"/>
              <w:rPr>
                <w:rFonts w:ascii="宋体" w:hAnsi="宋体"/>
                <w:highlight w:val="none"/>
              </w:rPr>
            </w:pPr>
            <w:r>
              <w:rPr>
                <w:rFonts w:hint="eastAsia" w:ascii="宋体" w:hAnsi="宋体"/>
                <w:highlight w:val="none"/>
              </w:rPr>
              <w:t>办公楼主管</w:t>
            </w:r>
          </w:p>
        </w:tc>
        <w:tc>
          <w:tcPr>
            <w:tcW w:w="709" w:type="dxa"/>
            <w:tcBorders>
              <w:top w:val="single" w:color="auto" w:sz="4" w:space="0"/>
              <w:left w:val="single" w:color="auto" w:sz="4" w:space="0"/>
              <w:bottom w:val="single" w:color="auto" w:sz="4" w:space="0"/>
              <w:right w:val="single" w:color="auto" w:sz="4" w:space="0"/>
            </w:tcBorders>
            <w:vAlign w:val="center"/>
          </w:tcPr>
          <w:p w14:paraId="0B6CFDCC">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29EB24B1">
            <w:pPr>
              <w:wordWrap w:val="0"/>
              <w:spacing w:line="280" w:lineRule="atLeast"/>
              <w:textAlignment w:val="baseline"/>
              <w:rPr>
                <w:rFonts w:ascii="宋体" w:hAnsi="宋体"/>
                <w:highlight w:val="none"/>
              </w:rPr>
            </w:pPr>
            <w:r>
              <w:rPr>
                <w:rFonts w:ascii="宋体" w:hAnsi="宋体"/>
                <w:highlight w:val="none"/>
              </w:rPr>
              <w:t>(1)主要负责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w:t>
            </w:r>
            <w:r>
              <w:rPr>
                <w:rFonts w:ascii="宋体" w:hAnsi="宋体"/>
                <w:highlight w:val="none"/>
              </w:rPr>
              <w:t>第</w:t>
            </w:r>
            <w:r>
              <w:rPr>
                <w:rFonts w:hint="eastAsia" w:ascii="宋体" w:hAnsi="宋体"/>
                <w:highlight w:val="none"/>
              </w:rPr>
              <w:t>三</w:t>
            </w:r>
            <w:r>
              <w:rPr>
                <w:rFonts w:ascii="宋体" w:hAnsi="宋体"/>
                <w:highlight w:val="none"/>
              </w:rPr>
              <w:t>办公楼的管理。</w:t>
            </w:r>
          </w:p>
          <w:p w14:paraId="0C81BAB4">
            <w:pPr>
              <w:wordWrap w:val="0"/>
              <w:spacing w:line="280" w:lineRule="atLeast"/>
              <w:ind w:right="20"/>
              <w:textAlignment w:val="baseline"/>
              <w:rPr>
                <w:rFonts w:ascii="宋体" w:hAnsi="宋体"/>
                <w:highlight w:val="none"/>
              </w:rPr>
            </w:pPr>
            <w:r>
              <w:rPr>
                <w:rFonts w:ascii="宋体" w:hAnsi="宋体"/>
                <w:highlight w:val="none"/>
              </w:rPr>
              <w:t>(2)统筹安排行政各项工作开展，兼任</w:t>
            </w:r>
            <w:r>
              <w:rPr>
                <w:rFonts w:hint="eastAsia" w:ascii="宋体" w:hAnsi="宋体"/>
                <w:highlight w:val="none"/>
              </w:rPr>
              <w:t>第一办公楼</w:t>
            </w:r>
            <w:r>
              <w:rPr>
                <w:rFonts w:ascii="宋体" w:hAnsi="宋体"/>
                <w:highlight w:val="none"/>
              </w:rPr>
              <w:t>会议服务人员(限女性)。</w:t>
            </w:r>
          </w:p>
        </w:tc>
        <w:tc>
          <w:tcPr>
            <w:tcW w:w="4238" w:type="dxa"/>
            <w:tcBorders>
              <w:top w:val="single" w:color="auto" w:sz="4" w:space="0"/>
              <w:left w:val="single" w:color="auto" w:sz="4" w:space="0"/>
              <w:bottom w:val="single" w:color="auto" w:sz="4" w:space="0"/>
              <w:right w:val="single" w:color="auto" w:sz="4" w:space="0"/>
            </w:tcBorders>
            <w:vAlign w:val="center"/>
          </w:tcPr>
          <w:p w14:paraId="359F08E7">
            <w:pPr>
              <w:spacing w:line="273" w:lineRule="auto"/>
              <w:rPr>
                <w:rFonts w:ascii="宋体" w:hAnsi="宋体"/>
                <w:highlight w:val="none"/>
              </w:rPr>
            </w:pPr>
            <w:r>
              <w:rPr>
                <w:rFonts w:hint="eastAsia" w:ascii="宋体" w:hAnsi="宋体"/>
                <w:highlight w:val="none"/>
              </w:rPr>
              <w:t>（1）一岗多能，责任心强，能吃苦，会办公软件和会务服务。</w:t>
            </w:r>
          </w:p>
          <w:p w14:paraId="76FB59E3">
            <w:pPr>
              <w:spacing w:line="273" w:lineRule="auto"/>
              <w:rPr>
                <w:rFonts w:ascii="宋体" w:hAnsi="宋体"/>
                <w:highlight w:val="none"/>
              </w:rPr>
            </w:pPr>
            <w:r>
              <w:rPr>
                <w:rFonts w:hint="eastAsia" w:ascii="宋体" w:hAnsi="宋体"/>
                <w:highlight w:val="none"/>
              </w:rPr>
              <w:t>（2）身体健康，相貌端正，服务意识强，政治觉悟高，保密意识强。</w:t>
            </w:r>
          </w:p>
          <w:p w14:paraId="6BBA1BAF">
            <w:pPr>
              <w:spacing w:line="273" w:lineRule="auto"/>
              <w:rPr>
                <w:rFonts w:ascii="宋体" w:hAnsi="宋体"/>
                <w:highlight w:val="none"/>
              </w:rPr>
            </w:pPr>
            <w:r>
              <w:rPr>
                <w:rFonts w:hint="eastAsia" w:ascii="宋体" w:hAnsi="宋体"/>
                <w:highlight w:val="none"/>
              </w:rPr>
              <w:t>★（3）限女性，身体健康，≤40岁。（提供有效身份证复印件）</w:t>
            </w:r>
          </w:p>
          <w:p w14:paraId="526EF176">
            <w:pPr>
              <w:spacing w:line="273" w:lineRule="auto"/>
              <w:rPr>
                <w:rFonts w:ascii="宋体" w:hAnsi="宋体"/>
                <w:highlight w:val="none"/>
              </w:rPr>
            </w:pPr>
            <w:r>
              <w:rPr>
                <w:rFonts w:hint="eastAsia" w:ascii="宋体" w:hAnsi="宋体"/>
                <w:highlight w:val="none"/>
              </w:rPr>
              <w:t>★（4）具有专科及以上学历。（提供学历证书复印件）</w:t>
            </w:r>
          </w:p>
          <w:p w14:paraId="1C265A9F">
            <w:pPr>
              <w:spacing w:line="273" w:lineRule="auto"/>
              <w:rPr>
                <w:rFonts w:ascii="宋体" w:hAnsi="宋体"/>
                <w:highlight w:val="none"/>
              </w:rPr>
            </w:pPr>
            <w:r>
              <w:rPr>
                <w:rFonts w:hint="eastAsia" w:ascii="宋体" w:hAnsi="宋体"/>
                <w:highlight w:val="none"/>
              </w:rPr>
              <w:t>★（5）具有普通话二级甲</w:t>
            </w:r>
          </w:p>
          <w:p w14:paraId="08CF4B6B">
            <w:pPr>
              <w:spacing w:line="273" w:lineRule="auto"/>
              <w:rPr>
                <w:rFonts w:ascii="宋体" w:hAnsi="宋体"/>
                <w:highlight w:val="none"/>
              </w:rPr>
            </w:pPr>
            <w:r>
              <w:rPr>
                <w:rFonts w:hint="eastAsia" w:ascii="宋体" w:hAnsi="宋体"/>
                <w:highlight w:val="none"/>
              </w:rPr>
              <w:t>等及以上证书。（提供证书复印件）</w:t>
            </w:r>
          </w:p>
          <w:p w14:paraId="05BA06F1">
            <w:pPr>
              <w:spacing w:line="273" w:lineRule="auto"/>
              <w:rPr>
                <w:highlight w:val="none"/>
              </w:rPr>
            </w:pPr>
            <w:r>
              <w:rPr>
                <w:rFonts w:hint="eastAsia" w:ascii="宋体" w:hAnsi="宋体"/>
                <w:highlight w:val="none"/>
              </w:rPr>
              <w:t>★</w:t>
            </w:r>
            <w:r>
              <w:rPr>
                <w:rFonts w:hint="eastAsia" w:ascii="宋体" w:hAnsi="宋体" w:eastAsia="宋体" w:cs="宋体"/>
                <w:szCs w:val="21"/>
                <w:highlight w:val="none"/>
              </w:rPr>
              <w:t>（6）有2年及以上非住宅物业管理项目综合服务主管（或相同语意内容）管理经验及具有组织协调大型会议或大型活动经验。</w:t>
            </w:r>
            <w:r>
              <w:rPr>
                <w:rFonts w:hint="eastAsia" w:ascii="宋体" w:hAnsi="宋体"/>
                <w:highlight w:val="none"/>
              </w:rPr>
              <w:t>（提供证明材料，内容应该明确拟任人员姓名、业主名称、服务时间及任职岗位等）</w:t>
            </w:r>
          </w:p>
          <w:p w14:paraId="7FA86A5B">
            <w:pPr>
              <w:pStyle w:val="8"/>
              <w:rPr>
                <w:rFonts w:ascii="宋体" w:hAnsi="宋体"/>
                <w:highlight w:val="none"/>
              </w:rPr>
            </w:pPr>
            <w:r>
              <w:rPr>
                <w:rFonts w:hint="eastAsia" w:ascii="宋体" w:hAnsi="宋体"/>
                <w:highlight w:val="none"/>
              </w:rPr>
              <w:t>（7)</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p>
          <w:p w14:paraId="273DA7B7">
            <w:pPr>
              <w:spacing w:line="273" w:lineRule="auto"/>
              <w:rPr>
                <w:rFonts w:ascii="宋体" w:hAnsi="宋体"/>
                <w:highlight w:val="none"/>
              </w:rPr>
            </w:pPr>
            <w:r>
              <w:rPr>
                <w:rFonts w:hint="eastAsia" w:ascii="宋体" w:hAnsi="宋体"/>
                <w:highlight w:val="none"/>
              </w:rPr>
              <w:t>提供人员202</w:t>
            </w:r>
            <w:r>
              <w:rPr>
                <w:rFonts w:ascii="宋体" w:hAnsi="宋体"/>
                <w:highlight w:val="none"/>
              </w:rPr>
              <w:t>5</w:t>
            </w:r>
            <w:r>
              <w:rPr>
                <w:rFonts w:hint="eastAsia" w:ascii="宋体" w:hAnsi="宋体"/>
                <w:highlight w:val="none"/>
              </w:rPr>
              <w:t>年任意连续3个月社保证明。</w:t>
            </w:r>
          </w:p>
        </w:tc>
      </w:tr>
      <w:tr w14:paraId="709A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7BD89EC">
            <w:pPr>
              <w:spacing w:line="273" w:lineRule="auto"/>
              <w:rPr>
                <w:rFonts w:ascii="宋体" w:hAnsi="宋体"/>
                <w:highlight w:val="none"/>
              </w:rPr>
            </w:pPr>
            <w:r>
              <w:rPr>
                <w:rFonts w:hint="eastAsia" w:ascii="宋体" w:hAnsi="宋体"/>
                <w:highlight w:val="none"/>
              </w:rPr>
              <w:t>秩序维护主管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59FCD88B">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6A27141C">
            <w:pPr>
              <w:wordWrap w:val="0"/>
              <w:spacing w:line="280" w:lineRule="atLeast"/>
              <w:ind w:right="20"/>
              <w:textAlignment w:val="baseline"/>
              <w:rPr>
                <w:rFonts w:ascii="宋体" w:hAnsi="宋体"/>
                <w:highlight w:val="none"/>
              </w:rPr>
            </w:pPr>
            <w:r>
              <w:rPr>
                <w:rFonts w:ascii="宋体" w:hAnsi="宋体"/>
                <w:highlight w:val="none"/>
              </w:rPr>
              <w:t>(1)主要负责公共区域秩序维护工作的开展、落实和检查监督职责。</w:t>
            </w:r>
          </w:p>
          <w:p w14:paraId="641E5795">
            <w:pPr>
              <w:wordWrap w:val="0"/>
              <w:spacing w:line="280" w:lineRule="atLeast"/>
              <w:textAlignment w:val="baseline"/>
              <w:rPr>
                <w:rFonts w:ascii="宋体" w:hAnsi="宋体"/>
                <w:highlight w:val="none"/>
              </w:rPr>
            </w:pPr>
            <w:r>
              <w:rPr>
                <w:rFonts w:ascii="宋体" w:hAnsi="宋体"/>
                <w:highlight w:val="none"/>
              </w:rPr>
              <w:t>(2)协助项目经理处理好秩序突发事件。</w:t>
            </w:r>
          </w:p>
          <w:p w14:paraId="78077FAB">
            <w:pPr>
              <w:spacing w:line="273" w:lineRule="auto"/>
              <w:rPr>
                <w:rFonts w:ascii="宋体" w:hAnsi="宋体"/>
                <w:highlight w:val="none"/>
              </w:rPr>
            </w:pPr>
            <w:r>
              <w:rPr>
                <w:rFonts w:ascii="宋体" w:hAnsi="宋体"/>
                <w:highlight w:val="none"/>
              </w:rPr>
              <w:t>(3)完成</w:t>
            </w:r>
            <w:r>
              <w:rPr>
                <w:rFonts w:hint="eastAsia" w:ascii="宋体" w:hAnsi="宋体"/>
                <w:highlight w:val="none"/>
              </w:rPr>
              <w:t>采购人</w:t>
            </w:r>
            <w:r>
              <w:rPr>
                <w:rFonts w:ascii="宋体" w:hAnsi="宋体"/>
                <w:highlight w:val="none"/>
              </w:rPr>
              <w:t>安排</w:t>
            </w:r>
            <w:r>
              <w:rPr>
                <w:rFonts w:hint="eastAsia" w:ascii="宋体" w:hAnsi="宋体"/>
                <w:highlight w:val="none"/>
              </w:rPr>
              <w:t>的</w:t>
            </w:r>
            <w:r>
              <w:rPr>
                <w:rFonts w:ascii="宋体" w:hAnsi="宋体"/>
                <w:highlight w:val="none"/>
              </w:rPr>
              <w:t>其他临时性</w:t>
            </w:r>
            <w:r>
              <w:rPr>
                <w:rFonts w:hint="eastAsia" w:ascii="宋体" w:hAnsi="宋体"/>
                <w:highlight w:val="none"/>
              </w:rPr>
              <w:t>工作</w:t>
            </w:r>
            <w:r>
              <w:rPr>
                <w:rFonts w:ascii="宋体" w:hAnsi="宋体"/>
                <w:highlight w:val="none"/>
              </w:rPr>
              <w:t>。</w:t>
            </w:r>
          </w:p>
        </w:tc>
        <w:tc>
          <w:tcPr>
            <w:tcW w:w="4238" w:type="dxa"/>
            <w:tcBorders>
              <w:top w:val="single" w:color="auto" w:sz="4" w:space="0"/>
              <w:left w:val="single" w:color="auto" w:sz="4" w:space="0"/>
              <w:bottom w:val="single" w:color="auto" w:sz="4" w:space="0"/>
              <w:right w:val="single" w:color="auto" w:sz="4" w:space="0"/>
            </w:tcBorders>
            <w:vAlign w:val="center"/>
          </w:tcPr>
          <w:p w14:paraId="730C6EE1">
            <w:pPr>
              <w:spacing w:line="273" w:lineRule="auto"/>
              <w:rPr>
                <w:rFonts w:ascii="宋体" w:hAnsi="宋体"/>
                <w:highlight w:val="none"/>
              </w:rPr>
            </w:pPr>
            <w:r>
              <w:rPr>
                <w:rFonts w:hint="eastAsia" w:ascii="宋体" w:hAnsi="宋体"/>
                <w:highlight w:val="none"/>
              </w:rPr>
              <w:t>（1）责任心强，具有较强的安全意识和专业技能。</w:t>
            </w:r>
          </w:p>
          <w:p w14:paraId="15CD03E4">
            <w:pPr>
              <w:spacing w:line="273" w:lineRule="auto"/>
              <w:rPr>
                <w:rFonts w:ascii="宋体" w:hAnsi="宋体"/>
                <w:highlight w:val="none"/>
              </w:rPr>
            </w:pPr>
            <w:r>
              <w:rPr>
                <w:rFonts w:hint="eastAsia" w:ascii="宋体" w:hAnsi="宋体"/>
                <w:highlight w:val="none"/>
              </w:rPr>
              <w:t>（2）熟悉安保、消防的岗位职责和工作要求。</w:t>
            </w:r>
          </w:p>
          <w:p w14:paraId="43551585">
            <w:pPr>
              <w:spacing w:line="273" w:lineRule="auto"/>
              <w:rPr>
                <w:rFonts w:ascii="宋体" w:hAnsi="宋体"/>
                <w:highlight w:val="none"/>
              </w:rPr>
            </w:pPr>
            <w:r>
              <w:rPr>
                <w:rFonts w:hint="eastAsia" w:ascii="宋体" w:hAnsi="宋体"/>
                <w:highlight w:val="none"/>
              </w:rPr>
              <w:t>★（3）男性，身体健康，≤</w:t>
            </w:r>
            <w:r>
              <w:rPr>
                <w:rFonts w:hint="eastAsia" w:ascii="宋体" w:hAnsi="宋体"/>
                <w:highlight w:val="none"/>
                <w:lang w:val="en-US" w:eastAsia="zh-CN"/>
              </w:rPr>
              <w:t>50</w:t>
            </w:r>
            <w:r>
              <w:rPr>
                <w:rFonts w:hint="eastAsia" w:ascii="宋体" w:hAnsi="宋体"/>
                <w:highlight w:val="none"/>
              </w:rPr>
              <w:t>岁（提供有效身份证复印件）</w:t>
            </w:r>
          </w:p>
          <w:p w14:paraId="4FED0817">
            <w:pPr>
              <w:wordWrap w:val="0"/>
              <w:spacing w:line="280" w:lineRule="atLeast"/>
              <w:ind w:right="20"/>
              <w:textAlignment w:val="baseline"/>
              <w:rPr>
                <w:rFonts w:ascii="宋体" w:hAnsi="宋体" w:eastAsia="宋体" w:cs="宋体"/>
                <w:szCs w:val="21"/>
                <w:highlight w:val="none"/>
              </w:rPr>
            </w:pPr>
            <w:r>
              <w:rPr>
                <w:rFonts w:hint="eastAsia" w:ascii="宋体" w:hAnsi="宋体"/>
                <w:highlight w:val="none"/>
              </w:rPr>
              <w:t>★</w:t>
            </w:r>
            <w:r>
              <w:rPr>
                <w:rFonts w:hint="eastAsia" w:ascii="宋体" w:hAnsi="宋体" w:eastAsia="宋体" w:cs="宋体"/>
                <w:szCs w:val="21"/>
                <w:highlight w:val="none"/>
              </w:rPr>
              <w:t>（4）具有公安部门颁发的保安员证及行政管理部门颁发的中级（四级）及以上消防设施操作员证[或建（构）筑物消防员证]（说明：提供有效证书复印件）</w:t>
            </w:r>
          </w:p>
          <w:p w14:paraId="70092100">
            <w:pPr>
              <w:pStyle w:val="8"/>
              <w:rPr>
                <w:highlight w:val="none"/>
              </w:rPr>
            </w:pPr>
            <w:r>
              <w:rPr>
                <w:rFonts w:hint="eastAsia" w:ascii="宋体" w:hAnsi="宋体"/>
                <w:highlight w:val="none"/>
              </w:rPr>
              <w:t>（5)</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p>
        </w:tc>
      </w:tr>
      <w:tr w14:paraId="714F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3E0A4B41">
            <w:pPr>
              <w:spacing w:line="273" w:lineRule="auto"/>
              <w:rPr>
                <w:rFonts w:ascii="宋体" w:hAnsi="宋体"/>
                <w:highlight w:val="none"/>
              </w:rPr>
            </w:pPr>
            <w:r>
              <w:rPr>
                <w:rFonts w:hint="eastAsia" w:ascii="宋体" w:hAnsi="宋体"/>
                <w:highlight w:val="none"/>
              </w:rPr>
              <w:t>环境维护主管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2C26D357">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31D8DF51">
            <w:pPr>
              <w:wordWrap w:val="0"/>
              <w:spacing w:line="280" w:lineRule="atLeast"/>
              <w:ind w:right="20"/>
              <w:textAlignment w:val="baseline"/>
              <w:rPr>
                <w:rFonts w:ascii="宋体" w:hAnsi="宋体"/>
                <w:highlight w:val="none"/>
              </w:rPr>
            </w:pPr>
            <w:r>
              <w:rPr>
                <w:rFonts w:ascii="宋体" w:hAnsi="宋体"/>
                <w:highlight w:val="none"/>
              </w:rPr>
              <w:t>(1)对物业服务公共区域各处的日常保洁以及在管教室保洁工作进行安排、检查和管理。</w:t>
            </w:r>
          </w:p>
          <w:p w14:paraId="22950D0F">
            <w:pPr>
              <w:wordWrap w:val="0"/>
              <w:spacing w:line="280" w:lineRule="atLeast"/>
              <w:textAlignment w:val="baseline"/>
              <w:rPr>
                <w:rFonts w:ascii="宋体" w:hAnsi="宋体"/>
                <w:highlight w:val="none"/>
              </w:rPr>
            </w:pPr>
            <w:r>
              <w:rPr>
                <w:rFonts w:ascii="宋体" w:hAnsi="宋体"/>
                <w:highlight w:val="none"/>
              </w:rPr>
              <w:t>(2)对所有保洁员工的工作进行安排、培训。</w:t>
            </w:r>
          </w:p>
          <w:p w14:paraId="08F230E4">
            <w:pPr>
              <w:spacing w:line="273" w:lineRule="auto"/>
              <w:rPr>
                <w:rFonts w:ascii="宋体" w:hAnsi="宋体"/>
                <w:highlight w:val="none"/>
              </w:rPr>
            </w:pPr>
            <w:r>
              <w:rPr>
                <w:rFonts w:ascii="宋体" w:hAnsi="宋体"/>
                <w:highlight w:val="none"/>
              </w:rPr>
              <w:t>(3)完成</w:t>
            </w:r>
            <w:r>
              <w:rPr>
                <w:rFonts w:hint="eastAsia" w:ascii="宋体" w:hAnsi="宋体"/>
                <w:highlight w:val="none"/>
              </w:rPr>
              <w:t>采购人</w:t>
            </w:r>
            <w:r>
              <w:rPr>
                <w:rFonts w:ascii="宋体" w:hAnsi="宋体"/>
                <w:highlight w:val="none"/>
              </w:rPr>
              <w:t>安排的其他临时性工作。</w:t>
            </w:r>
          </w:p>
        </w:tc>
        <w:tc>
          <w:tcPr>
            <w:tcW w:w="4238" w:type="dxa"/>
            <w:tcBorders>
              <w:top w:val="single" w:color="auto" w:sz="4" w:space="0"/>
              <w:left w:val="single" w:color="auto" w:sz="4" w:space="0"/>
              <w:bottom w:val="single" w:color="auto" w:sz="4" w:space="0"/>
              <w:right w:val="single" w:color="auto" w:sz="4" w:space="0"/>
            </w:tcBorders>
            <w:vAlign w:val="center"/>
          </w:tcPr>
          <w:p w14:paraId="289F3F0B">
            <w:pPr>
              <w:spacing w:line="273" w:lineRule="auto"/>
              <w:rPr>
                <w:rFonts w:ascii="宋体" w:hAnsi="宋体"/>
                <w:highlight w:val="none"/>
              </w:rPr>
            </w:pPr>
            <w:r>
              <w:rPr>
                <w:rFonts w:hint="eastAsia" w:ascii="宋体" w:hAnsi="宋体"/>
                <w:highlight w:val="none"/>
              </w:rPr>
              <w:t>（1）具有较强的专业技术、管理和协调能力，具有专科及以上学历。（提供学历证书复印件）</w:t>
            </w:r>
          </w:p>
          <w:p w14:paraId="0FC6C9D1">
            <w:pPr>
              <w:spacing w:line="273" w:lineRule="auto"/>
              <w:rPr>
                <w:rFonts w:ascii="宋体" w:hAnsi="宋体"/>
                <w:highlight w:val="none"/>
              </w:rPr>
            </w:pPr>
            <w:r>
              <w:rPr>
                <w:rFonts w:hint="eastAsia" w:ascii="宋体" w:hAnsi="宋体"/>
                <w:highlight w:val="none"/>
              </w:rPr>
              <w:t>（2）负责日常卫生质量的管理检查工作，实行规范作业。</w:t>
            </w:r>
          </w:p>
          <w:p w14:paraId="3FCDBD0B">
            <w:pPr>
              <w:spacing w:line="273" w:lineRule="auto"/>
              <w:rPr>
                <w:rFonts w:ascii="宋体" w:hAnsi="宋体"/>
                <w:highlight w:val="none"/>
              </w:rPr>
            </w:pPr>
            <w:r>
              <w:rPr>
                <w:rFonts w:hint="eastAsia" w:ascii="宋体" w:hAnsi="宋体"/>
                <w:highlight w:val="none"/>
              </w:rPr>
              <w:t>（3）每天至少巡查两次。</w:t>
            </w:r>
          </w:p>
          <w:p w14:paraId="0584FC3D">
            <w:pPr>
              <w:spacing w:line="273" w:lineRule="auto"/>
              <w:rPr>
                <w:highlight w:val="none"/>
              </w:rPr>
            </w:pPr>
            <w:r>
              <w:rPr>
                <w:rFonts w:hint="eastAsia" w:ascii="宋体" w:hAnsi="宋体"/>
                <w:highlight w:val="none"/>
              </w:rPr>
              <w:t>（4)</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p>
        </w:tc>
      </w:tr>
      <w:tr w14:paraId="22A5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6BA59B8D">
            <w:pPr>
              <w:spacing w:line="273" w:lineRule="auto"/>
              <w:rPr>
                <w:rFonts w:ascii="宋体" w:hAnsi="宋体"/>
                <w:highlight w:val="none"/>
              </w:rPr>
            </w:pPr>
            <w:r>
              <w:rPr>
                <w:rFonts w:hint="eastAsia" w:ascii="宋体" w:hAnsi="宋体"/>
                <w:highlight w:val="none"/>
              </w:rPr>
              <w:t>工程技术主管</w:t>
            </w:r>
          </w:p>
        </w:tc>
        <w:tc>
          <w:tcPr>
            <w:tcW w:w="709" w:type="dxa"/>
            <w:tcBorders>
              <w:top w:val="single" w:color="auto" w:sz="4" w:space="0"/>
              <w:left w:val="single" w:color="auto" w:sz="4" w:space="0"/>
              <w:bottom w:val="single" w:color="auto" w:sz="4" w:space="0"/>
              <w:right w:val="single" w:color="auto" w:sz="4" w:space="0"/>
            </w:tcBorders>
            <w:vAlign w:val="center"/>
          </w:tcPr>
          <w:p w14:paraId="5E045507">
            <w:pPr>
              <w:spacing w:line="273" w:lineRule="auto"/>
              <w:rPr>
                <w:rFonts w:ascii="宋体" w:hAnsi="宋体"/>
                <w:highlight w:val="none"/>
              </w:rPr>
            </w:pPr>
            <w:r>
              <w:rPr>
                <w:rFonts w:hint="eastAsia" w:ascii="宋体" w:hAnsi="宋体"/>
                <w:highlight w:val="none"/>
              </w:rPr>
              <w:t>1人</w:t>
            </w:r>
          </w:p>
        </w:tc>
        <w:tc>
          <w:tcPr>
            <w:tcW w:w="2970" w:type="dxa"/>
            <w:tcBorders>
              <w:top w:val="single" w:color="auto" w:sz="4" w:space="0"/>
              <w:left w:val="single" w:color="auto" w:sz="4" w:space="0"/>
              <w:bottom w:val="single" w:color="auto" w:sz="4" w:space="0"/>
              <w:right w:val="single" w:color="auto" w:sz="4" w:space="0"/>
            </w:tcBorders>
            <w:vAlign w:val="center"/>
          </w:tcPr>
          <w:p w14:paraId="39CB3884">
            <w:pPr>
              <w:wordWrap w:val="0"/>
              <w:spacing w:line="280" w:lineRule="atLeast"/>
              <w:ind w:right="20"/>
              <w:textAlignment w:val="baseline"/>
              <w:rPr>
                <w:rFonts w:ascii="宋体" w:hAnsi="宋体"/>
                <w:highlight w:val="none"/>
              </w:rPr>
            </w:pPr>
            <w:r>
              <w:rPr>
                <w:rFonts w:ascii="宋体" w:hAnsi="宋体"/>
                <w:highlight w:val="none"/>
              </w:rPr>
              <w:t>(1)主要负责</w:t>
            </w:r>
            <w:r>
              <w:rPr>
                <w:rFonts w:hint="eastAsia" w:ascii="宋体" w:hAnsi="宋体"/>
                <w:highlight w:val="none"/>
              </w:rPr>
              <w:t>第一办公楼，第二办公楼、第三办公楼、第</w:t>
            </w:r>
            <w:r>
              <w:rPr>
                <w:rFonts w:ascii="宋体" w:hAnsi="宋体"/>
                <w:highlight w:val="none"/>
              </w:rPr>
              <w:t>五</w:t>
            </w:r>
            <w:r>
              <w:rPr>
                <w:rFonts w:hint="eastAsia" w:ascii="宋体" w:hAnsi="宋体"/>
                <w:highlight w:val="none"/>
              </w:rPr>
              <w:t>、</w:t>
            </w:r>
            <w:r>
              <w:rPr>
                <w:rFonts w:ascii="宋体" w:hAnsi="宋体"/>
                <w:highlight w:val="none"/>
              </w:rPr>
              <w:t>六教设施设备的检查和维护。</w:t>
            </w:r>
          </w:p>
          <w:p w14:paraId="1123F263">
            <w:pPr>
              <w:wordWrap w:val="0"/>
              <w:spacing w:after="40" w:line="280" w:lineRule="atLeast"/>
              <w:ind w:right="20"/>
              <w:textAlignment w:val="baseline"/>
              <w:rPr>
                <w:rFonts w:ascii="宋体" w:hAnsi="宋体"/>
                <w:highlight w:val="none"/>
              </w:rPr>
            </w:pPr>
            <w:r>
              <w:rPr>
                <w:rFonts w:ascii="宋体" w:hAnsi="宋体"/>
                <w:highlight w:val="none"/>
              </w:rPr>
              <w:t>(2)对高低压配电房等设备进行定期检查和保养。</w:t>
            </w:r>
          </w:p>
          <w:p w14:paraId="34C184F7">
            <w:pPr>
              <w:spacing w:line="273" w:lineRule="auto"/>
              <w:rPr>
                <w:rFonts w:ascii="宋体" w:hAnsi="宋体"/>
                <w:highlight w:val="none"/>
              </w:rPr>
            </w:pPr>
            <w:r>
              <w:rPr>
                <w:rFonts w:ascii="宋体" w:hAnsi="宋体"/>
                <w:highlight w:val="none"/>
              </w:rPr>
              <w:t>(3)协助维保公司进行电梯检查维修等。</w:t>
            </w:r>
          </w:p>
        </w:tc>
        <w:tc>
          <w:tcPr>
            <w:tcW w:w="4238" w:type="dxa"/>
            <w:tcBorders>
              <w:top w:val="single" w:color="auto" w:sz="4" w:space="0"/>
              <w:left w:val="single" w:color="auto" w:sz="4" w:space="0"/>
              <w:bottom w:val="single" w:color="auto" w:sz="4" w:space="0"/>
              <w:right w:val="single" w:color="auto" w:sz="4" w:space="0"/>
            </w:tcBorders>
            <w:vAlign w:val="center"/>
          </w:tcPr>
          <w:p w14:paraId="27C78C3E">
            <w:pPr>
              <w:spacing w:line="273" w:lineRule="auto"/>
              <w:rPr>
                <w:rFonts w:ascii="宋体" w:hAnsi="宋体"/>
                <w:highlight w:val="none"/>
              </w:rPr>
            </w:pPr>
            <w:r>
              <w:rPr>
                <w:rFonts w:hint="eastAsia" w:ascii="宋体" w:hAnsi="宋体"/>
                <w:highlight w:val="none"/>
              </w:rPr>
              <w:t>（1）具有较强的专业技术、管理和协调能力。</w:t>
            </w:r>
          </w:p>
          <w:p w14:paraId="1530B38A">
            <w:pPr>
              <w:spacing w:line="273" w:lineRule="auto"/>
              <w:rPr>
                <w:rFonts w:ascii="宋体" w:hAnsi="宋体"/>
                <w:highlight w:val="none"/>
              </w:rPr>
            </w:pPr>
            <w:r>
              <w:rPr>
                <w:rFonts w:hint="eastAsia" w:ascii="宋体" w:hAnsi="宋体"/>
                <w:highlight w:val="none"/>
              </w:rPr>
              <w:t>（2）每天至少巡查两次。</w:t>
            </w:r>
          </w:p>
          <w:p w14:paraId="61D59AD6">
            <w:pPr>
              <w:spacing w:line="273" w:lineRule="auto"/>
              <w:rPr>
                <w:rFonts w:ascii="宋体" w:hAnsi="宋体"/>
                <w:highlight w:val="none"/>
              </w:rPr>
            </w:pPr>
            <w:r>
              <w:rPr>
                <w:rFonts w:hint="eastAsia" w:ascii="宋体" w:hAnsi="宋体"/>
                <w:highlight w:val="none"/>
              </w:rPr>
              <w:t>★(3) 具有专科及以上学历。（提供学历证书复印件）</w:t>
            </w:r>
          </w:p>
          <w:p w14:paraId="2158D898">
            <w:pPr>
              <w:pStyle w:val="61"/>
              <w:jc w:val="both"/>
              <w:rPr>
                <w:rFonts w:hint="default" w:ascii="宋体" w:hAnsi="宋体" w:eastAsia="宋体" w:cs="宋体"/>
                <w:sz w:val="21"/>
                <w:szCs w:val="21"/>
                <w:highlight w:val="none"/>
              </w:rPr>
            </w:pPr>
            <w:r>
              <w:rPr>
                <w:rFonts w:ascii="宋体" w:hAnsi="宋体"/>
                <w:highlight w:val="none"/>
              </w:rPr>
              <w:t>★</w:t>
            </w:r>
            <w:r>
              <w:rPr>
                <w:rFonts w:ascii="宋体" w:hAnsi="宋体" w:eastAsia="宋体" w:cs="宋体"/>
                <w:sz w:val="21"/>
                <w:szCs w:val="21"/>
                <w:highlight w:val="none"/>
                <w:lang w:eastAsia="zh-CN"/>
              </w:rPr>
              <w:t>（4）</w:t>
            </w:r>
            <w:r>
              <w:rPr>
                <w:rFonts w:ascii="宋体" w:hAnsi="宋体" w:eastAsia="宋体" w:cs="宋体"/>
                <w:sz w:val="21"/>
                <w:szCs w:val="21"/>
                <w:highlight w:val="none"/>
              </w:rPr>
              <w:t>持有《中华人民共和国特种作业操作证》(高压电工作业)和(低压电工作业)及中级及以上职称证书(建筑工程类或机电类或工民建类或园林绿化类或给排水类或电气工程类或电气自动化类或建筑装饰装修类或建筑智能化系统类)。(说明:提供有效的证书复印件，特种作业操作证还应提供应急管理部官方网站查询截图。)</w:t>
            </w:r>
          </w:p>
          <w:p w14:paraId="31E8A223">
            <w:pPr>
              <w:spacing w:line="273" w:lineRule="auto"/>
              <w:rPr>
                <w:highlight w:val="none"/>
              </w:rPr>
            </w:pPr>
            <w:r>
              <w:rPr>
                <w:rFonts w:hint="eastAsia" w:ascii="宋体" w:hAnsi="宋体"/>
                <w:highlight w:val="none"/>
              </w:rPr>
              <w:t>★</w:t>
            </w:r>
            <w:r>
              <w:rPr>
                <w:rFonts w:hint="eastAsia" w:ascii="宋体" w:hAnsi="宋体" w:eastAsia="宋体" w:cs="宋体"/>
                <w:szCs w:val="21"/>
                <w:highlight w:val="none"/>
              </w:rPr>
              <w:t>（5）具有两年及以上非住宅项目物业管理工程技术主管岗位（或相同语意内容）管理工作经验。</w:t>
            </w:r>
            <w:r>
              <w:rPr>
                <w:rFonts w:hint="eastAsia" w:ascii="宋体" w:hAnsi="宋体"/>
                <w:highlight w:val="none"/>
              </w:rPr>
              <w:t>（提供证明材料，内容应该明确拟任人员姓名、业主名称、服务时间及任职岗位等）</w:t>
            </w:r>
          </w:p>
          <w:p w14:paraId="40C4086E">
            <w:pPr>
              <w:pStyle w:val="8"/>
              <w:rPr>
                <w:highlight w:val="none"/>
              </w:rPr>
            </w:pPr>
            <w:r>
              <w:rPr>
                <w:rFonts w:hint="eastAsia" w:ascii="宋体" w:hAnsi="宋体"/>
                <w:highlight w:val="none"/>
              </w:rPr>
              <w:t>（</w:t>
            </w:r>
            <w:r>
              <w:rPr>
                <w:rFonts w:ascii="宋体" w:hAnsi="宋体"/>
                <w:highlight w:val="none"/>
              </w:rPr>
              <w:t>6</w:t>
            </w:r>
            <w:r>
              <w:rPr>
                <w:rFonts w:hint="eastAsia" w:ascii="宋体" w:hAnsi="宋体"/>
                <w:highlight w:val="none"/>
              </w:rPr>
              <w:t>)</w:t>
            </w:r>
            <w:r>
              <w:rPr>
                <w:rFonts w:hint="eastAsia" w:ascii="宋体" w:hAnsi="宋体" w:eastAsia="宋体" w:cs="宋体"/>
                <w:kern w:val="0"/>
                <w:sz w:val="20"/>
                <w:szCs w:val="20"/>
                <w:highlight w:val="none"/>
                <w:lang w:bidi="ar"/>
              </w:rPr>
              <w:t>工作时间：工作日在岗，周末双休日及法定节假日，项目经理及主管，至少安排1人轮流现场值班。</w:t>
            </w:r>
          </w:p>
        </w:tc>
      </w:tr>
      <w:tr w14:paraId="779F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1E80D0A">
            <w:pPr>
              <w:spacing w:line="273" w:lineRule="auto"/>
              <w:rPr>
                <w:rFonts w:ascii="宋体" w:hAnsi="宋体"/>
                <w:highlight w:val="none"/>
              </w:rPr>
            </w:pPr>
            <w:r>
              <w:rPr>
                <w:rFonts w:hint="eastAsia" w:ascii="宋体" w:hAnsi="宋体"/>
                <w:highlight w:val="none"/>
              </w:rPr>
              <w:t>客服服务</w:t>
            </w:r>
          </w:p>
        </w:tc>
        <w:tc>
          <w:tcPr>
            <w:tcW w:w="709" w:type="dxa"/>
            <w:tcBorders>
              <w:top w:val="single" w:color="auto" w:sz="4" w:space="0"/>
              <w:left w:val="single" w:color="auto" w:sz="4" w:space="0"/>
              <w:bottom w:val="single" w:color="auto" w:sz="4" w:space="0"/>
              <w:right w:val="single" w:color="auto" w:sz="4" w:space="0"/>
            </w:tcBorders>
            <w:vAlign w:val="center"/>
          </w:tcPr>
          <w:p w14:paraId="511D42B9">
            <w:pPr>
              <w:spacing w:line="273" w:lineRule="auto"/>
              <w:rPr>
                <w:rFonts w:ascii="宋体" w:hAnsi="宋体"/>
                <w:highlight w:val="none"/>
              </w:rPr>
            </w:pPr>
            <w:r>
              <w:rPr>
                <w:rFonts w:ascii="宋体" w:hAnsi="宋体"/>
                <w:highlight w:val="none"/>
              </w:rPr>
              <w:t>6</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2A93EBB9">
            <w:pPr>
              <w:wordWrap w:val="0"/>
              <w:spacing w:line="280" w:lineRule="atLeast"/>
              <w:ind w:right="20"/>
              <w:textAlignment w:val="baseline"/>
              <w:rPr>
                <w:rFonts w:ascii="宋体" w:hAnsi="宋体"/>
                <w:highlight w:val="none"/>
              </w:rPr>
            </w:pPr>
            <w:r>
              <w:rPr>
                <w:rFonts w:ascii="宋体" w:hAnsi="宋体"/>
                <w:highlight w:val="none"/>
              </w:rPr>
              <w:t>(1)</w:t>
            </w:r>
            <w:r>
              <w:rPr>
                <w:rFonts w:hint="eastAsia" w:ascii="宋体" w:hAnsi="宋体"/>
                <w:highlight w:val="none"/>
              </w:rPr>
              <w:t>第一办公楼5</w:t>
            </w:r>
            <w:r>
              <w:rPr>
                <w:rFonts w:ascii="宋体" w:hAnsi="宋体"/>
                <w:highlight w:val="none"/>
              </w:rPr>
              <w:t>人，主要负责前台接待咨询、指引、会议服务和档案管理等工作；及时收集意见，做好记录并协助处理。</w:t>
            </w:r>
          </w:p>
          <w:p w14:paraId="762E7750">
            <w:pPr>
              <w:wordWrap w:val="0"/>
              <w:spacing w:line="280" w:lineRule="atLeast"/>
              <w:ind w:right="20"/>
              <w:textAlignment w:val="baseline"/>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六教1人，主要负责电话接听和来人来访接待，协助做好教务、教室安排工作。</w:t>
            </w:r>
          </w:p>
          <w:p w14:paraId="412D2DEF">
            <w:pPr>
              <w:spacing w:line="273" w:lineRule="auto"/>
              <w:rPr>
                <w:rFonts w:ascii="宋体" w:hAnsi="宋体"/>
                <w:highlight w:val="none"/>
              </w:rPr>
            </w:pPr>
            <w:r>
              <w:rPr>
                <w:rFonts w:ascii="宋体" w:hAnsi="宋体"/>
                <w:highlight w:val="none"/>
              </w:rPr>
              <w:t>(3)做好师生报修、维修记录，负责与工程部沟通、协调，做好维修回访。</w:t>
            </w:r>
          </w:p>
        </w:tc>
        <w:tc>
          <w:tcPr>
            <w:tcW w:w="4238" w:type="dxa"/>
            <w:tcBorders>
              <w:top w:val="single" w:color="auto" w:sz="4" w:space="0"/>
              <w:left w:val="single" w:color="auto" w:sz="4" w:space="0"/>
              <w:bottom w:val="single" w:color="auto" w:sz="4" w:space="0"/>
              <w:right w:val="single" w:color="auto" w:sz="4" w:space="0"/>
            </w:tcBorders>
            <w:vAlign w:val="center"/>
          </w:tcPr>
          <w:p w14:paraId="1CD18DEF">
            <w:pPr>
              <w:spacing w:line="273" w:lineRule="auto"/>
              <w:rPr>
                <w:rFonts w:ascii="宋体" w:hAnsi="宋体"/>
                <w:highlight w:val="none"/>
              </w:rPr>
            </w:pPr>
            <w:r>
              <w:rPr>
                <w:rFonts w:hint="eastAsia" w:ascii="宋体" w:hAnsi="宋体"/>
                <w:highlight w:val="none"/>
              </w:rPr>
              <w:t>★（1）身高160</w:t>
            </w:r>
            <w:r>
              <w:rPr>
                <w:rFonts w:hint="eastAsia" w:ascii="宋体" w:hAnsi="宋体" w:eastAsia="宋体" w:cs="宋体"/>
                <w:sz w:val="24"/>
                <w:highlight w:val="none"/>
              </w:rPr>
              <w:t>cm</w:t>
            </w:r>
            <w:r>
              <w:rPr>
                <w:rFonts w:hint="eastAsia" w:ascii="宋体" w:hAnsi="宋体"/>
                <w:highlight w:val="none"/>
              </w:rPr>
              <w:t>以上，限女性, 身体健康，≤40岁。（提供有效身份证复印件）</w:t>
            </w:r>
          </w:p>
          <w:p w14:paraId="7BCD4FD0">
            <w:pPr>
              <w:spacing w:line="273" w:lineRule="auto"/>
              <w:rPr>
                <w:rFonts w:ascii="宋体" w:hAnsi="宋体"/>
                <w:highlight w:val="none"/>
              </w:rPr>
            </w:pPr>
            <w:r>
              <w:rPr>
                <w:rFonts w:hint="eastAsia" w:ascii="宋体" w:hAnsi="宋体"/>
                <w:highlight w:val="none"/>
              </w:rPr>
              <w:t>（2）政治觉悟高、保密意识强，具有良好的沟通及协调能力。</w:t>
            </w:r>
          </w:p>
          <w:p w14:paraId="2445BE85">
            <w:pPr>
              <w:spacing w:line="273" w:lineRule="auto"/>
              <w:rPr>
                <w:rFonts w:ascii="宋体" w:hAnsi="宋体"/>
                <w:highlight w:val="none"/>
              </w:rPr>
            </w:pPr>
            <w:r>
              <w:rPr>
                <w:rFonts w:hint="eastAsia" w:ascii="宋体" w:hAnsi="宋体"/>
                <w:highlight w:val="none"/>
              </w:rPr>
              <w:t>（3）具有良好的服务意识，懂得基本的办公软件操作。</w:t>
            </w:r>
          </w:p>
          <w:p w14:paraId="23BDD922">
            <w:pPr>
              <w:pStyle w:val="8"/>
              <w:rPr>
                <w:highlight w:val="none"/>
              </w:rPr>
            </w:pPr>
            <w:r>
              <w:rPr>
                <w:rFonts w:hint="eastAsia" w:ascii="宋体" w:hAnsi="宋体"/>
                <w:highlight w:val="none"/>
              </w:rPr>
              <w:t>★</w:t>
            </w:r>
            <w:r>
              <w:rPr>
                <w:rFonts w:hint="eastAsia" w:ascii="宋体" w:hAnsi="宋体" w:eastAsia="宋体" w:cs="宋体"/>
                <w:kern w:val="0"/>
                <w:szCs w:val="21"/>
                <w:highlight w:val="none"/>
                <w:lang w:bidi="ar"/>
              </w:rPr>
              <w:t>（4）专科及以上学历。（提供有效的学历证书复印件）</w:t>
            </w:r>
            <w:r>
              <w:rPr>
                <w:rFonts w:hint="eastAsia" w:ascii="宋体" w:hAnsi="宋体" w:eastAsia="宋体" w:cs="宋体"/>
                <w:kern w:val="0"/>
                <w:szCs w:val="21"/>
                <w:highlight w:val="none"/>
                <w:lang w:bidi="ar"/>
              </w:rPr>
              <w:br w:type="textWrapping"/>
            </w:r>
            <w:r>
              <w:rPr>
                <w:rFonts w:hint="eastAsia" w:ascii="宋体" w:hAnsi="宋体"/>
                <w:highlight w:val="none"/>
              </w:rPr>
              <w:t>★</w:t>
            </w:r>
            <w:r>
              <w:rPr>
                <w:rFonts w:hint="eastAsia" w:ascii="宋体" w:hAnsi="宋体" w:eastAsia="宋体" w:cs="宋体"/>
                <w:kern w:val="0"/>
                <w:szCs w:val="21"/>
                <w:highlight w:val="none"/>
                <w:lang w:bidi="ar"/>
              </w:rPr>
              <w:t>（5）具有普通话二级乙等及以上证书。（提供有效证书复印件）</w:t>
            </w:r>
          </w:p>
          <w:p w14:paraId="00ACF5BA">
            <w:pPr>
              <w:pStyle w:val="8"/>
              <w:rPr>
                <w:highlight w:val="none"/>
              </w:rPr>
            </w:pPr>
            <w:r>
              <w:rPr>
                <w:rFonts w:hint="eastAsia" w:ascii="宋体" w:hAnsi="宋体" w:eastAsia="宋体" w:cs="宋体"/>
                <w:szCs w:val="21"/>
                <w:highlight w:val="none"/>
              </w:rPr>
              <w:t>（6）休息日第一办公楼至少安排1人值班，休息日值班可安排调休，值班时间：9：00—18：00（午间休息1小时）。法定节假日正常休息。</w:t>
            </w:r>
          </w:p>
        </w:tc>
      </w:tr>
      <w:tr w14:paraId="2C4C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3911249C">
            <w:pPr>
              <w:spacing w:line="273" w:lineRule="auto"/>
              <w:rPr>
                <w:rFonts w:ascii="宋体" w:hAnsi="宋体"/>
                <w:highlight w:val="none"/>
              </w:rPr>
            </w:pPr>
            <w:r>
              <w:rPr>
                <w:rFonts w:hint="eastAsia" w:ascii="宋体" w:hAnsi="宋体"/>
                <w:highlight w:val="none"/>
              </w:rPr>
              <w:t>秩序维护</w:t>
            </w:r>
          </w:p>
        </w:tc>
        <w:tc>
          <w:tcPr>
            <w:tcW w:w="709" w:type="dxa"/>
            <w:tcBorders>
              <w:top w:val="single" w:color="auto" w:sz="4" w:space="0"/>
              <w:left w:val="single" w:color="auto" w:sz="4" w:space="0"/>
              <w:bottom w:val="single" w:color="auto" w:sz="4" w:space="0"/>
              <w:right w:val="single" w:color="auto" w:sz="4" w:space="0"/>
            </w:tcBorders>
            <w:vAlign w:val="center"/>
          </w:tcPr>
          <w:p w14:paraId="7E206B4D">
            <w:pPr>
              <w:spacing w:line="273" w:lineRule="auto"/>
              <w:rPr>
                <w:rFonts w:ascii="宋体" w:hAnsi="宋体"/>
                <w:highlight w:val="none"/>
              </w:rPr>
            </w:pPr>
            <w:r>
              <w:rPr>
                <w:rFonts w:hint="eastAsia" w:ascii="宋体" w:hAnsi="宋体"/>
                <w:highlight w:val="none"/>
              </w:rPr>
              <w:t>29人</w:t>
            </w:r>
          </w:p>
        </w:tc>
        <w:tc>
          <w:tcPr>
            <w:tcW w:w="2970" w:type="dxa"/>
            <w:tcBorders>
              <w:top w:val="single" w:color="auto" w:sz="4" w:space="0"/>
              <w:left w:val="single" w:color="auto" w:sz="4" w:space="0"/>
              <w:bottom w:val="single" w:color="auto" w:sz="4" w:space="0"/>
              <w:right w:val="single" w:color="auto" w:sz="4" w:space="0"/>
            </w:tcBorders>
            <w:vAlign w:val="center"/>
          </w:tcPr>
          <w:p w14:paraId="5B7B616D">
            <w:pPr>
              <w:wordWrap w:val="0"/>
              <w:spacing w:line="280" w:lineRule="atLeast"/>
              <w:ind w:right="20"/>
              <w:textAlignment w:val="baseline"/>
              <w:rPr>
                <w:rFonts w:ascii="宋体" w:hAnsi="宋体"/>
                <w:highlight w:val="none"/>
              </w:rPr>
            </w:pPr>
            <w:r>
              <w:rPr>
                <w:rFonts w:ascii="宋体" w:hAnsi="宋体"/>
                <w:highlight w:val="none"/>
              </w:rPr>
              <w:t>(1)</w:t>
            </w:r>
            <w:r>
              <w:rPr>
                <w:rFonts w:hint="eastAsia" w:ascii="宋体" w:hAnsi="宋体"/>
                <w:highlight w:val="none"/>
              </w:rPr>
              <w:t>办公楼</w:t>
            </w:r>
            <w:r>
              <w:rPr>
                <w:rFonts w:ascii="宋体" w:hAnsi="宋体"/>
                <w:highlight w:val="none"/>
              </w:rPr>
              <w:t>6人，主要负责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、第三办公楼公共</w:t>
            </w:r>
            <w:r>
              <w:rPr>
                <w:rFonts w:ascii="宋体" w:hAnsi="宋体"/>
                <w:highlight w:val="none"/>
              </w:rPr>
              <w:t>区域秩序维护工作，负责检查及上报安全隐患，负责车辆的指引和管理工作。</w:t>
            </w:r>
          </w:p>
          <w:p w14:paraId="1F9C1286">
            <w:pPr>
              <w:spacing w:line="273" w:lineRule="auto"/>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六教2</w:t>
            </w:r>
            <w:r>
              <w:rPr>
                <w:rFonts w:hint="eastAsia" w:ascii="宋体" w:hAnsi="宋体"/>
                <w:highlight w:val="none"/>
              </w:rPr>
              <w:t>3</w:t>
            </w:r>
            <w:r>
              <w:rPr>
                <w:rFonts w:ascii="宋体" w:hAnsi="宋体"/>
                <w:highlight w:val="none"/>
              </w:rPr>
              <w:t>人，主要负责公共区域的秩序维护工作，排查可疑人员，制止不符合规范行为，负责教室及机柜的开关。</w:t>
            </w:r>
          </w:p>
        </w:tc>
        <w:tc>
          <w:tcPr>
            <w:tcW w:w="4238" w:type="dxa"/>
            <w:tcBorders>
              <w:top w:val="single" w:color="auto" w:sz="4" w:space="0"/>
              <w:left w:val="single" w:color="auto" w:sz="4" w:space="0"/>
              <w:bottom w:val="single" w:color="auto" w:sz="4" w:space="0"/>
              <w:right w:val="single" w:color="auto" w:sz="4" w:space="0"/>
            </w:tcBorders>
            <w:vAlign w:val="center"/>
          </w:tcPr>
          <w:p w14:paraId="5D2EC8ED">
            <w:pPr>
              <w:spacing w:line="273" w:lineRule="auto"/>
              <w:rPr>
                <w:rFonts w:ascii="宋体" w:hAnsi="宋体"/>
                <w:highlight w:val="none"/>
              </w:rPr>
            </w:pPr>
            <w:r>
              <w:rPr>
                <w:rFonts w:hint="eastAsia" w:ascii="宋体" w:hAnsi="宋体"/>
                <w:highlight w:val="none"/>
              </w:rPr>
              <w:t>（1）具有良好的服务意识。</w:t>
            </w:r>
          </w:p>
          <w:p w14:paraId="61DC85ED">
            <w:pPr>
              <w:spacing w:line="273" w:lineRule="auto"/>
              <w:rPr>
                <w:rFonts w:ascii="宋体" w:hAnsi="宋体"/>
                <w:highlight w:val="none"/>
              </w:rPr>
            </w:pPr>
            <w:r>
              <w:rPr>
                <w:rFonts w:hint="eastAsia" w:ascii="宋体" w:hAnsi="宋体"/>
                <w:highlight w:val="none"/>
              </w:rPr>
              <w:t>（2）身体健康，具有吃苦耐劳精神。</w:t>
            </w:r>
          </w:p>
          <w:p w14:paraId="7E067349">
            <w:pPr>
              <w:pStyle w:val="61"/>
              <w:jc w:val="both"/>
              <w:rPr>
                <w:rFonts w:hint="default" w:ascii="宋体" w:hAnsi="宋体" w:eastAsia="宋体" w:cs="宋体"/>
                <w:sz w:val="21"/>
                <w:szCs w:val="21"/>
                <w:highlight w:val="none"/>
                <w:lang w:eastAsia="zh-CN" w:bidi="ar"/>
              </w:rPr>
            </w:pPr>
            <w:r>
              <w:rPr>
                <w:rFonts w:ascii="宋体" w:hAnsi="宋体"/>
                <w:highlight w:val="none"/>
              </w:rPr>
              <w:t>★</w:t>
            </w:r>
            <w:r>
              <w:rPr>
                <w:rFonts w:ascii="宋体" w:hAnsi="宋体" w:eastAsia="宋体" w:cs="宋体"/>
                <w:sz w:val="21"/>
                <w:szCs w:val="21"/>
                <w:highlight w:val="none"/>
                <w:lang w:eastAsia="zh-CN" w:bidi="ar"/>
              </w:rPr>
              <w:t>（3）至少6人具有人社部门颁发的四级（中级）以上职业技能鉴定证书（建（构）物消防员证或消防设施操作员证）。（提供有效期内的证书复印件）</w:t>
            </w:r>
            <w:r>
              <w:rPr>
                <w:rFonts w:ascii="宋体" w:hAnsi="宋体" w:eastAsia="宋体" w:cs="宋体"/>
                <w:sz w:val="21"/>
                <w:szCs w:val="21"/>
                <w:highlight w:val="none"/>
                <w:lang w:eastAsia="zh-CN" w:bidi="ar"/>
              </w:rPr>
              <w:br w:type="textWrapping"/>
            </w:r>
            <w:r>
              <w:rPr>
                <w:rFonts w:ascii="宋体" w:hAnsi="宋体"/>
                <w:highlight w:val="none"/>
              </w:rPr>
              <w:t>★</w:t>
            </w:r>
            <w:r>
              <w:rPr>
                <w:rFonts w:ascii="宋体" w:hAnsi="宋体" w:eastAsia="宋体" w:cs="宋体"/>
                <w:sz w:val="21"/>
                <w:szCs w:val="21"/>
                <w:highlight w:val="none"/>
                <w:lang w:eastAsia="zh-CN" w:bidi="ar"/>
              </w:rPr>
              <w:t>（4）至少10人具有公安部门或人社部门颁发的保安员证。（提供有效期内的证书复印件）</w:t>
            </w:r>
          </w:p>
          <w:p w14:paraId="1C8705A1">
            <w:pPr>
              <w:pStyle w:val="61"/>
              <w:jc w:val="both"/>
              <w:rPr>
                <w:rFonts w:hint="default" w:ascii="宋体" w:hAnsi="宋体" w:eastAsia="宋体" w:cs="宋体"/>
                <w:sz w:val="21"/>
                <w:szCs w:val="21"/>
                <w:highlight w:val="none"/>
                <w:lang w:eastAsia="zh-CN" w:bidi="ar"/>
              </w:rPr>
            </w:pPr>
            <w:r>
              <w:rPr>
                <w:rFonts w:ascii="宋体" w:hAnsi="宋体" w:eastAsia="宋体" w:cs="宋体"/>
                <w:sz w:val="21"/>
                <w:szCs w:val="21"/>
                <w:highlight w:val="none"/>
                <w:lang w:eastAsia="zh-CN"/>
              </w:rPr>
              <w:t>（5）全年</w:t>
            </w:r>
            <w:r>
              <w:rPr>
                <w:rFonts w:ascii="宋体" w:hAnsi="宋体" w:eastAsia="宋体" w:cs="宋体"/>
                <w:sz w:val="21"/>
                <w:szCs w:val="21"/>
                <w:highlight w:val="none"/>
                <w:lang w:eastAsia="zh-CN" w:bidi="ar"/>
              </w:rPr>
              <w:t>24小时值守，3班倒,每天至少24人在岗（每人每天工作8小时）。</w:t>
            </w:r>
          </w:p>
        </w:tc>
      </w:tr>
      <w:tr w14:paraId="366C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5DCA3A40">
            <w:pPr>
              <w:spacing w:line="273" w:lineRule="auto"/>
              <w:rPr>
                <w:rFonts w:ascii="宋体" w:hAnsi="宋体"/>
                <w:highlight w:val="none"/>
              </w:rPr>
            </w:pPr>
            <w:r>
              <w:rPr>
                <w:rFonts w:hint="eastAsia" w:ascii="宋体" w:hAnsi="宋体"/>
                <w:highlight w:val="none"/>
              </w:rPr>
              <w:t>保洁维护</w:t>
            </w:r>
          </w:p>
        </w:tc>
        <w:tc>
          <w:tcPr>
            <w:tcW w:w="709" w:type="dxa"/>
            <w:tcBorders>
              <w:top w:val="single" w:color="auto" w:sz="4" w:space="0"/>
              <w:left w:val="single" w:color="auto" w:sz="4" w:space="0"/>
              <w:bottom w:val="single" w:color="auto" w:sz="4" w:space="0"/>
              <w:right w:val="single" w:color="auto" w:sz="4" w:space="0"/>
            </w:tcBorders>
            <w:vAlign w:val="center"/>
          </w:tcPr>
          <w:p w14:paraId="673B8693">
            <w:pPr>
              <w:spacing w:line="273" w:lineRule="auto"/>
              <w:rPr>
                <w:rFonts w:ascii="宋体" w:hAnsi="宋体"/>
                <w:highlight w:val="none"/>
              </w:rPr>
            </w:pPr>
            <w:r>
              <w:rPr>
                <w:rFonts w:ascii="宋体" w:hAnsi="宋体"/>
                <w:highlight w:val="none"/>
              </w:rPr>
              <w:t>42</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556CB00B">
            <w:pPr>
              <w:wordWrap w:val="0"/>
              <w:spacing w:line="240" w:lineRule="atLeast"/>
              <w:textAlignment w:val="baseline"/>
              <w:rPr>
                <w:rFonts w:ascii="宋体" w:hAnsi="宋体"/>
                <w:highlight w:val="none"/>
              </w:rPr>
            </w:pPr>
            <w:r>
              <w:rPr>
                <w:rFonts w:ascii="宋体" w:hAnsi="宋体"/>
                <w:highlight w:val="none"/>
              </w:rPr>
              <w:t>(1)</w:t>
            </w:r>
            <w:r>
              <w:rPr>
                <w:rFonts w:hint="eastAsia" w:ascii="宋体" w:hAnsi="宋体"/>
                <w:highlight w:val="none"/>
              </w:rPr>
              <w:t>第一办公楼</w:t>
            </w:r>
            <w:r>
              <w:rPr>
                <w:rFonts w:ascii="宋体" w:hAnsi="宋体"/>
                <w:highlight w:val="none"/>
              </w:rPr>
              <w:t>7人，其中包含1名</w:t>
            </w:r>
            <w:r>
              <w:rPr>
                <w:rFonts w:hint="eastAsia" w:ascii="宋体" w:hAnsi="宋体"/>
                <w:highlight w:val="none"/>
              </w:rPr>
              <w:t>指定</w:t>
            </w:r>
            <w:r>
              <w:rPr>
                <w:rFonts w:ascii="宋体" w:hAnsi="宋体"/>
                <w:highlight w:val="none"/>
              </w:rPr>
              <w:t>办公室打扫人员。</w:t>
            </w:r>
          </w:p>
          <w:p w14:paraId="7ECC84BE">
            <w:pPr>
              <w:wordWrap w:val="0"/>
              <w:spacing w:line="240" w:lineRule="atLeast"/>
              <w:textAlignment w:val="baseline"/>
              <w:rPr>
                <w:rFonts w:ascii="宋体" w:hAnsi="宋体"/>
                <w:highlight w:val="none"/>
              </w:rPr>
            </w:pPr>
            <w:r>
              <w:rPr>
                <w:rFonts w:ascii="宋体" w:hAnsi="宋体"/>
                <w:highlight w:val="none"/>
              </w:rPr>
              <w:t>(2)第二办公楼1人，</w:t>
            </w:r>
            <w:r>
              <w:rPr>
                <w:rFonts w:hint="eastAsia" w:ascii="宋体" w:hAnsi="宋体"/>
                <w:highlight w:val="none"/>
              </w:rPr>
              <w:t>第三办公楼1</w:t>
            </w:r>
            <w:r>
              <w:rPr>
                <w:rFonts w:ascii="宋体" w:hAnsi="宋体"/>
                <w:highlight w:val="none"/>
              </w:rPr>
              <w:t>人。</w:t>
            </w:r>
          </w:p>
          <w:p w14:paraId="6E25019F">
            <w:pPr>
              <w:wordWrap w:val="0"/>
              <w:spacing w:line="240" w:lineRule="atLeast"/>
              <w:textAlignment w:val="baseline"/>
              <w:rPr>
                <w:rFonts w:ascii="宋体" w:hAnsi="宋体"/>
                <w:highlight w:val="none"/>
              </w:rPr>
            </w:pPr>
            <w:r>
              <w:rPr>
                <w:rFonts w:ascii="宋体" w:hAnsi="宋体"/>
                <w:highlight w:val="none"/>
              </w:rPr>
              <w:t>(3)五</w:t>
            </w:r>
            <w:r>
              <w:rPr>
                <w:rFonts w:hint="eastAsia" w:ascii="宋体" w:hAnsi="宋体"/>
                <w:highlight w:val="none"/>
              </w:rPr>
              <w:t>、</w:t>
            </w:r>
            <w:r>
              <w:rPr>
                <w:rFonts w:ascii="宋体" w:hAnsi="宋体"/>
                <w:highlight w:val="none"/>
              </w:rPr>
              <w:t>六教32人，其中包含教室打扫人员。</w:t>
            </w:r>
          </w:p>
          <w:p w14:paraId="707D5CE2">
            <w:pPr>
              <w:spacing w:line="273" w:lineRule="auto"/>
              <w:rPr>
                <w:rFonts w:ascii="宋体" w:hAnsi="宋体"/>
                <w:highlight w:val="none"/>
              </w:rPr>
            </w:pPr>
            <w:r>
              <w:rPr>
                <w:rFonts w:ascii="宋体" w:hAnsi="宋体"/>
                <w:highlight w:val="none"/>
              </w:rPr>
              <w:t>(4)清运垃圾1人。</w:t>
            </w:r>
          </w:p>
        </w:tc>
        <w:tc>
          <w:tcPr>
            <w:tcW w:w="4238" w:type="dxa"/>
            <w:tcBorders>
              <w:top w:val="single" w:color="auto" w:sz="4" w:space="0"/>
              <w:left w:val="single" w:color="auto" w:sz="4" w:space="0"/>
              <w:bottom w:val="single" w:color="auto" w:sz="4" w:space="0"/>
              <w:right w:val="single" w:color="auto" w:sz="4" w:space="0"/>
            </w:tcBorders>
            <w:vAlign w:val="center"/>
          </w:tcPr>
          <w:p w14:paraId="52AA2584">
            <w:pPr>
              <w:spacing w:line="273" w:lineRule="auto"/>
              <w:rPr>
                <w:rFonts w:ascii="宋体" w:hAnsi="宋体"/>
                <w:highlight w:val="none"/>
              </w:rPr>
            </w:pPr>
            <w:r>
              <w:rPr>
                <w:rFonts w:hint="eastAsia" w:ascii="宋体" w:hAnsi="宋体"/>
                <w:highlight w:val="none"/>
              </w:rPr>
              <w:t>（1）具有吃苦耐劳的精神。</w:t>
            </w:r>
          </w:p>
          <w:p w14:paraId="066A417D">
            <w:pPr>
              <w:spacing w:line="273" w:lineRule="auto"/>
              <w:rPr>
                <w:rFonts w:ascii="宋体" w:hAnsi="宋体"/>
                <w:highlight w:val="none"/>
              </w:rPr>
            </w:pPr>
            <w:r>
              <w:rPr>
                <w:rFonts w:hint="eastAsia" w:ascii="宋体" w:hAnsi="宋体"/>
                <w:highlight w:val="none"/>
              </w:rPr>
              <w:t>（2）具有良好的服务意识。</w:t>
            </w:r>
          </w:p>
          <w:p w14:paraId="6799673D">
            <w:pPr>
              <w:pStyle w:val="8"/>
              <w:rPr>
                <w:highlight w:val="none"/>
              </w:rPr>
            </w:pPr>
            <w:r>
              <w:rPr>
                <w:rFonts w:hint="eastAsia" w:ascii="宋体" w:hAnsi="宋体" w:eastAsia="宋体" w:cs="宋体"/>
                <w:szCs w:val="21"/>
                <w:highlight w:val="none"/>
              </w:rPr>
              <w:t>（3）休息日至少安排31人值班（每人每天值班时长6小时，休息日值班可安排调休），休息日值班可安排调休，法定节假日正常休息。</w:t>
            </w:r>
          </w:p>
        </w:tc>
      </w:tr>
      <w:tr w14:paraId="6C03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29CFD15">
            <w:pPr>
              <w:spacing w:line="273" w:lineRule="auto"/>
              <w:rPr>
                <w:rFonts w:ascii="宋体" w:hAnsi="宋体"/>
                <w:highlight w:val="none"/>
              </w:rPr>
            </w:pPr>
            <w:r>
              <w:rPr>
                <w:rFonts w:hint="eastAsia" w:ascii="宋体" w:hAnsi="宋体"/>
                <w:highlight w:val="none"/>
              </w:rPr>
              <w:t>绿化服务</w:t>
            </w:r>
          </w:p>
        </w:tc>
        <w:tc>
          <w:tcPr>
            <w:tcW w:w="709" w:type="dxa"/>
            <w:tcBorders>
              <w:top w:val="single" w:color="auto" w:sz="4" w:space="0"/>
              <w:left w:val="single" w:color="auto" w:sz="4" w:space="0"/>
              <w:bottom w:val="single" w:color="auto" w:sz="4" w:space="0"/>
              <w:right w:val="single" w:color="auto" w:sz="4" w:space="0"/>
            </w:tcBorders>
            <w:vAlign w:val="center"/>
          </w:tcPr>
          <w:p w14:paraId="3C177572">
            <w:pPr>
              <w:spacing w:line="273" w:lineRule="auto"/>
              <w:rPr>
                <w:rFonts w:ascii="宋体" w:hAnsi="宋体"/>
                <w:highlight w:val="none"/>
              </w:rPr>
            </w:pPr>
            <w:r>
              <w:rPr>
                <w:rFonts w:hint="eastAsia" w:ascii="宋体" w:hAnsi="宋体"/>
                <w:highlight w:val="none"/>
              </w:rPr>
              <w:t>2人</w:t>
            </w:r>
          </w:p>
        </w:tc>
        <w:tc>
          <w:tcPr>
            <w:tcW w:w="2970" w:type="dxa"/>
            <w:tcBorders>
              <w:top w:val="single" w:color="auto" w:sz="4" w:space="0"/>
              <w:left w:val="single" w:color="auto" w:sz="4" w:space="0"/>
              <w:bottom w:val="single" w:color="auto" w:sz="4" w:space="0"/>
              <w:right w:val="single" w:color="auto" w:sz="4" w:space="0"/>
            </w:tcBorders>
            <w:vAlign w:val="center"/>
          </w:tcPr>
          <w:p w14:paraId="34252EAE">
            <w:pPr>
              <w:spacing w:line="273" w:lineRule="auto"/>
              <w:rPr>
                <w:rFonts w:ascii="宋体" w:hAnsi="宋体"/>
                <w:highlight w:val="none"/>
              </w:rPr>
            </w:pPr>
            <w:r>
              <w:rPr>
                <w:rFonts w:hint="eastAsia" w:ascii="宋体" w:hAnsi="宋体"/>
                <w:highlight w:val="none"/>
              </w:rPr>
              <w:t>⑴负责绿化养护，使用剪草机、割灌机等修剪草坪。</w:t>
            </w:r>
          </w:p>
          <w:p w14:paraId="2B29D39E">
            <w:pPr>
              <w:spacing w:line="273" w:lineRule="auto"/>
              <w:rPr>
                <w:rFonts w:ascii="宋体" w:hAnsi="宋体"/>
                <w:highlight w:val="none"/>
              </w:rPr>
            </w:pPr>
            <w:r>
              <w:rPr>
                <w:rFonts w:hint="eastAsia" w:ascii="宋体" w:hAnsi="宋体"/>
                <w:highlight w:val="none"/>
              </w:rPr>
              <w:t>⑵负责乔灌木和草坪的修剪、浇水、打药、除杂草等。</w:t>
            </w:r>
          </w:p>
        </w:tc>
        <w:tc>
          <w:tcPr>
            <w:tcW w:w="4238" w:type="dxa"/>
            <w:tcBorders>
              <w:top w:val="single" w:color="auto" w:sz="4" w:space="0"/>
              <w:left w:val="single" w:color="auto" w:sz="4" w:space="0"/>
              <w:bottom w:val="single" w:color="auto" w:sz="4" w:space="0"/>
              <w:right w:val="single" w:color="auto" w:sz="4" w:space="0"/>
            </w:tcBorders>
            <w:vAlign w:val="center"/>
          </w:tcPr>
          <w:p w14:paraId="09011669">
            <w:pPr>
              <w:spacing w:line="273" w:lineRule="auto"/>
              <w:rPr>
                <w:rFonts w:ascii="宋体" w:hAnsi="宋体"/>
                <w:highlight w:val="none"/>
              </w:rPr>
            </w:pPr>
            <w:r>
              <w:rPr>
                <w:rFonts w:hint="eastAsia" w:ascii="宋体" w:hAnsi="宋体"/>
                <w:highlight w:val="none"/>
              </w:rPr>
              <w:t>(1)具有吃苦耐劳精神，具有绿化养护技能及美化意识。</w:t>
            </w:r>
          </w:p>
          <w:p w14:paraId="4B52B762">
            <w:pPr>
              <w:spacing w:line="273" w:lineRule="auto"/>
              <w:rPr>
                <w:rFonts w:ascii="宋体" w:hAnsi="宋体"/>
                <w:highlight w:val="none"/>
              </w:rPr>
            </w:pPr>
            <w:r>
              <w:rPr>
                <w:rFonts w:hint="eastAsia" w:ascii="宋体" w:hAnsi="宋体"/>
                <w:highlight w:val="none"/>
              </w:rPr>
              <w:t>★（2）其中一人具有园林、绿化相关从业资格证。（提供证书复印件）</w:t>
            </w:r>
          </w:p>
          <w:p w14:paraId="32AD5E6F">
            <w:pPr>
              <w:pStyle w:val="8"/>
              <w:rPr>
                <w:highlight w:val="none"/>
              </w:rPr>
            </w:pPr>
            <w:r>
              <w:rPr>
                <w:rFonts w:hint="eastAsia" w:ascii="宋体" w:hAnsi="宋体" w:eastAsia="宋体" w:cs="宋体"/>
                <w:kern w:val="0"/>
                <w:sz w:val="20"/>
                <w:szCs w:val="20"/>
                <w:highlight w:val="none"/>
                <w:lang w:bidi="ar"/>
              </w:rPr>
              <w:t>（3）每周工作40小时，具体工作时间和休息时间，根据工作内容和天气情况，进行工作安排。</w:t>
            </w:r>
          </w:p>
        </w:tc>
      </w:tr>
      <w:tr w14:paraId="2E49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F7CE3A1">
            <w:pPr>
              <w:spacing w:line="273" w:lineRule="auto"/>
              <w:rPr>
                <w:rFonts w:ascii="宋体" w:hAnsi="宋体"/>
                <w:highlight w:val="none"/>
              </w:rPr>
            </w:pPr>
            <w:r>
              <w:rPr>
                <w:rFonts w:hint="eastAsia" w:ascii="宋体" w:hAnsi="宋体"/>
                <w:highlight w:val="none"/>
              </w:rPr>
              <w:t>多媒体维护</w:t>
            </w:r>
          </w:p>
        </w:tc>
        <w:tc>
          <w:tcPr>
            <w:tcW w:w="709" w:type="dxa"/>
            <w:tcBorders>
              <w:top w:val="single" w:color="auto" w:sz="4" w:space="0"/>
              <w:left w:val="single" w:color="auto" w:sz="4" w:space="0"/>
              <w:bottom w:val="single" w:color="auto" w:sz="4" w:space="0"/>
              <w:right w:val="single" w:color="auto" w:sz="4" w:space="0"/>
            </w:tcBorders>
            <w:vAlign w:val="center"/>
          </w:tcPr>
          <w:p w14:paraId="127806F6">
            <w:pPr>
              <w:spacing w:line="273" w:lineRule="auto"/>
              <w:rPr>
                <w:rFonts w:ascii="宋体" w:hAnsi="宋体"/>
                <w:highlight w:val="none"/>
              </w:rPr>
            </w:pPr>
            <w:r>
              <w:rPr>
                <w:rFonts w:ascii="宋体" w:hAnsi="宋体"/>
                <w:highlight w:val="none"/>
              </w:rPr>
              <w:t>5</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161B446C">
            <w:pPr>
              <w:spacing w:line="273" w:lineRule="auto"/>
              <w:rPr>
                <w:rFonts w:ascii="宋体" w:hAnsi="宋体"/>
                <w:highlight w:val="none"/>
              </w:rPr>
            </w:pPr>
            <w:r>
              <w:rPr>
                <w:rFonts w:hint="eastAsia" w:ascii="宋体" w:hAnsi="宋体"/>
                <w:highlight w:val="none"/>
              </w:rPr>
              <w:t>⑴负责对多媒体问题处理；负责对教室软件系统的更新和升级。</w:t>
            </w:r>
          </w:p>
          <w:p w14:paraId="2036744E">
            <w:pPr>
              <w:pStyle w:val="59"/>
              <w:numPr>
                <w:ilvl w:val="0"/>
                <w:numId w:val="5"/>
              </w:numPr>
              <w:spacing w:line="274" w:lineRule="auto"/>
              <w:ind w:left="0" w:firstLine="0" w:firstLineChars="0"/>
              <w:rPr>
                <w:rFonts w:ascii="宋体" w:hAnsi="宋体"/>
                <w:highlight w:val="none"/>
              </w:rPr>
            </w:pPr>
            <w:r>
              <w:rPr>
                <w:rFonts w:hint="eastAsia" w:ascii="宋体" w:hAnsi="宋体"/>
                <w:highlight w:val="none"/>
              </w:rPr>
              <w:t>负责对多媒体设备的检查和维护。</w:t>
            </w:r>
          </w:p>
        </w:tc>
        <w:tc>
          <w:tcPr>
            <w:tcW w:w="4238" w:type="dxa"/>
            <w:tcBorders>
              <w:top w:val="single" w:color="auto" w:sz="4" w:space="0"/>
              <w:left w:val="single" w:color="auto" w:sz="4" w:space="0"/>
              <w:bottom w:val="single" w:color="auto" w:sz="4" w:space="0"/>
              <w:right w:val="single" w:color="auto" w:sz="4" w:space="0"/>
            </w:tcBorders>
            <w:vAlign w:val="center"/>
          </w:tcPr>
          <w:p w14:paraId="7B0DEB9D">
            <w:pPr>
              <w:spacing w:line="273" w:lineRule="auto"/>
              <w:rPr>
                <w:rFonts w:ascii="宋体" w:hAnsi="宋体"/>
                <w:highlight w:val="none"/>
              </w:rPr>
            </w:pPr>
            <w:r>
              <w:rPr>
                <w:rFonts w:hint="eastAsia" w:ascii="宋体" w:hAnsi="宋体"/>
                <w:highlight w:val="none"/>
              </w:rPr>
              <w:t>（1）具有良好的多媒体处理能力。</w:t>
            </w:r>
          </w:p>
          <w:p w14:paraId="0BCE7003">
            <w:pPr>
              <w:spacing w:line="273" w:lineRule="auto"/>
              <w:rPr>
                <w:rFonts w:ascii="宋体" w:hAnsi="宋体"/>
                <w:highlight w:val="none"/>
              </w:rPr>
            </w:pPr>
            <w:r>
              <w:rPr>
                <w:rFonts w:hint="eastAsia" w:ascii="宋体" w:hAnsi="宋体"/>
                <w:highlight w:val="none"/>
              </w:rPr>
              <w:t>（2）具有良好的沟通及协调能力。</w:t>
            </w:r>
          </w:p>
          <w:p w14:paraId="5ABDE6BD">
            <w:pPr>
              <w:spacing w:line="273" w:lineRule="auto"/>
              <w:rPr>
                <w:rFonts w:ascii="宋体" w:hAnsi="宋体" w:eastAsia="宋体" w:cs="宋体"/>
                <w:kern w:val="0"/>
                <w:szCs w:val="21"/>
                <w:highlight w:val="none"/>
                <w:lang w:bidi="ar"/>
              </w:rPr>
            </w:pPr>
            <w:r>
              <w:rPr>
                <w:rFonts w:hint="eastAsia" w:ascii="宋体" w:hAnsi="宋体"/>
                <w:highlight w:val="none"/>
              </w:rPr>
              <w:t>★（3）</w:t>
            </w:r>
            <w:r>
              <w:rPr>
                <w:rFonts w:hint="eastAsia" w:ascii="宋体" w:hAnsi="宋体" w:eastAsia="宋体" w:cs="宋体"/>
                <w:kern w:val="0"/>
                <w:szCs w:val="21"/>
                <w:highlight w:val="none"/>
                <w:lang w:bidi="ar"/>
              </w:rPr>
              <w:t>至少1人具有计算机类专业的专科毕业证书。（提供有效的证书复印件）</w:t>
            </w:r>
            <w:r>
              <w:rPr>
                <w:rFonts w:hint="eastAsia" w:ascii="宋体" w:hAnsi="宋体" w:eastAsia="宋体" w:cs="宋体"/>
                <w:kern w:val="0"/>
                <w:szCs w:val="21"/>
                <w:highlight w:val="none"/>
                <w:lang w:bidi="ar"/>
              </w:rPr>
              <w:br w:type="textWrapping"/>
            </w:r>
            <w:r>
              <w:rPr>
                <w:rFonts w:hint="eastAsia" w:ascii="宋体" w:hAnsi="宋体"/>
                <w:highlight w:val="none"/>
              </w:rPr>
              <w:t>★（4）</w:t>
            </w:r>
            <w:r>
              <w:rPr>
                <w:rFonts w:hint="eastAsia" w:ascii="宋体" w:hAnsi="宋体" w:eastAsia="宋体" w:cs="宋体"/>
                <w:kern w:val="0"/>
                <w:szCs w:val="21"/>
                <w:highlight w:val="none"/>
                <w:lang w:bidi="ar"/>
              </w:rPr>
              <w:t>至少1人具有教育部考试中心颁发的全国计算机等级考试合格证书。（提供有效的证书复印件）</w:t>
            </w:r>
            <w:r>
              <w:rPr>
                <w:rFonts w:hint="eastAsia" w:ascii="宋体" w:hAnsi="宋体" w:eastAsia="宋体" w:cs="宋体"/>
                <w:kern w:val="0"/>
                <w:szCs w:val="21"/>
                <w:highlight w:val="none"/>
                <w:lang w:bidi="ar"/>
              </w:rPr>
              <w:br w:type="textWrapping"/>
            </w:r>
            <w:r>
              <w:rPr>
                <w:rFonts w:hint="eastAsia" w:ascii="宋体" w:hAnsi="宋体"/>
                <w:highlight w:val="none"/>
              </w:rPr>
              <w:t>★（5）</w:t>
            </w:r>
            <w:r>
              <w:rPr>
                <w:rFonts w:hint="eastAsia" w:ascii="宋体" w:hAnsi="宋体" w:eastAsia="宋体" w:cs="宋体"/>
                <w:kern w:val="0"/>
                <w:szCs w:val="21"/>
                <w:highlight w:val="none"/>
                <w:lang w:bidi="ar"/>
              </w:rPr>
              <w:t>至少1人具有人社部门颁发的职业资格证书（职业资格：智能楼宇管理员）。（提供有效的证书复印件）</w:t>
            </w:r>
          </w:p>
          <w:p w14:paraId="776A20B6">
            <w:pPr>
              <w:pStyle w:val="8"/>
              <w:rPr>
                <w:highlight w:val="none"/>
              </w:rPr>
            </w:pPr>
            <w:r>
              <w:rPr>
                <w:rFonts w:hint="eastAsia" w:ascii="宋体" w:hAnsi="宋体" w:eastAsia="宋体" w:cs="宋体"/>
                <w:szCs w:val="21"/>
                <w:highlight w:val="none"/>
              </w:rPr>
              <w:t>（6）休息日至少安排2人值班，每人每天值班时长8小时，休息日值班可安排调休，法定节假日正常休息。</w:t>
            </w:r>
          </w:p>
        </w:tc>
      </w:tr>
      <w:tr w14:paraId="11BD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011BFD11">
            <w:pPr>
              <w:spacing w:line="273" w:lineRule="auto"/>
              <w:rPr>
                <w:rFonts w:ascii="宋体" w:hAnsi="宋体"/>
                <w:highlight w:val="none"/>
              </w:rPr>
            </w:pPr>
            <w:r>
              <w:rPr>
                <w:rFonts w:hint="eastAsia" w:ascii="宋体" w:hAnsi="宋体"/>
                <w:highlight w:val="none"/>
              </w:rPr>
              <w:t>工程维护</w:t>
            </w:r>
          </w:p>
        </w:tc>
        <w:tc>
          <w:tcPr>
            <w:tcW w:w="709" w:type="dxa"/>
            <w:tcBorders>
              <w:top w:val="single" w:color="auto" w:sz="4" w:space="0"/>
              <w:left w:val="single" w:color="auto" w:sz="4" w:space="0"/>
              <w:bottom w:val="single" w:color="auto" w:sz="4" w:space="0"/>
              <w:right w:val="single" w:color="auto" w:sz="4" w:space="0"/>
            </w:tcBorders>
            <w:vAlign w:val="center"/>
          </w:tcPr>
          <w:p w14:paraId="28B9D5E6">
            <w:pPr>
              <w:spacing w:line="273" w:lineRule="auto"/>
              <w:rPr>
                <w:rFonts w:ascii="宋体" w:hAnsi="宋体"/>
                <w:highlight w:val="none"/>
              </w:rPr>
            </w:pPr>
            <w:r>
              <w:rPr>
                <w:rFonts w:ascii="宋体" w:hAnsi="宋体"/>
                <w:highlight w:val="none"/>
              </w:rPr>
              <w:t>6</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3ADE8EE1">
            <w:pPr>
              <w:wordWrap w:val="0"/>
              <w:spacing w:line="240" w:lineRule="atLeast"/>
              <w:textAlignment w:val="baseline"/>
              <w:rPr>
                <w:rFonts w:ascii="宋体" w:hAnsi="宋体"/>
                <w:highlight w:val="none"/>
              </w:rPr>
            </w:pPr>
            <w:r>
              <w:rPr>
                <w:rFonts w:ascii="宋体" w:hAnsi="宋体"/>
                <w:highlight w:val="none"/>
              </w:rPr>
              <w:t>(1)</w:t>
            </w:r>
            <w:r>
              <w:rPr>
                <w:rFonts w:hint="eastAsia" w:ascii="宋体" w:hAnsi="宋体"/>
                <w:highlight w:val="none"/>
              </w:rPr>
              <w:t>第一办公楼2</w:t>
            </w:r>
            <w:r>
              <w:rPr>
                <w:rFonts w:ascii="宋体" w:hAnsi="宋体"/>
                <w:highlight w:val="none"/>
              </w:rPr>
              <w:t>人，主要负责</w:t>
            </w:r>
            <w:r>
              <w:rPr>
                <w:rFonts w:hint="eastAsia" w:ascii="宋体" w:hAnsi="宋体"/>
                <w:highlight w:val="none"/>
              </w:rPr>
              <w:t>第一办公楼、</w:t>
            </w:r>
            <w:r>
              <w:rPr>
                <w:rFonts w:ascii="宋体" w:hAnsi="宋体"/>
                <w:highlight w:val="none"/>
              </w:rPr>
              <w:t>第二办公楼</w:t>
            </w:r>
            <w:r>
              <w:rPr>
                <w:rFonts w:hint="eastAsia" w:ascii="宋体" w:hAnsi="宋体"/>
                <w:highlight w:val="none"/>
              </w:rPr>
              <w:t>、第三办公楼</w:t>
            </w:r>
            <w:r>
              <w:rPr>
                <w:rFonts w:ascii="宋体" w:hAnsi="宋体"/>
                <w:highlight w:val="none"/>
              </w:rPr>
              <w:t>的设施设备检查和维护；定期对设备进行保养和检查；对会议所需投影、电脑进行连接和调式等。</w:t>
            </w:r>
          </w:p>
          <w:p w14:paraId="6D35A84E">
            <w:pPr>
              <w:spacing w:line="273" w:lineRule="auto"/>
              <w:rPr>
                <w:rFonts w:ascii="宋体" w:hAnsi="宋体"/>
                <w:highlight w:val="none"/>
              </w:rPr>
            </w:pPr>
            <w:r>
              <w:rPr>
                <w:rFonts w:ascii="宋体" w:hAnsi="宋体"/>
                <w:highlight w:val="none"/>
              </w:rPr>
              <w:t>(2)五</w:t>
            </w:r>
            <w:r>
              <w:rPr>
                <w:rFonts w:hint="eastAsia" w:ascii="宋体" w:hAnsi="宋体"/>
                <w:highlight w:val="none"/>
              </w:rPr>
              <w:t>、</w:t>
            </w:r>
            <w:r>
              <w:rPr>
                <w:rFonts w:ascii="宋体" w:hAnsi="宋体"/>
                <w:highlight w:val="none"/>
              </w:rPr>
              <w:t>六教</w:t>
            </w:r>
            <w:r>
              <w:rPr>
                <w:rFonts w:hint="eastAsia" w:ascii="宋体" w:hAnsi="宋体"/>
                <w:highlight w:val="none"/>
              </w:rPr>
              <w:t>4</w:t>
            </w:r>
            <w:r>
              <w:rPr>
                <w:rFonts w:ascii="宋体" w:hAnsi="宋体"/>
                <w:highlight w:val="none"/>
              </w:rPr>
              <w:t>人，主要负责教室及公共区域设备设备的检查及维护；对高低压配电房等设备进行定期检查和保养。</w:t>
            </w:r>
          </w:p>
        </w:tc>
        <w:tc>
          <w:tcPr>
            <w:tcW w:w="4238" w:type="dxa"/>
            <w:tcBorders>
              <w:top w:val="single" w:color="auto" w:sz="4" w:space="0"/>
              <w:left w:val="single" w:color="auto" w:sz="4" w:space="0"/>
              <w:bottom w:val="single" w:color="auto" w:sz="4" w:space="0"/>
              <w:right w:val="single" w:color="auto" w:sz="4" w:space="0"/>
            </w:tcBorders>
            <w:vAlign w:val="center"/>
          </w:tcPr>
          <w:p w14:paraId="0962BEB0">
            <w:pPr>
              <w:wordWrap w:val="0"/>
              <w:spacing w:line="280" w:lineRule="atLeast"/>
              <w:ind w:left="120" w:right="20"/>
              <w:textAlignment w:val="baseline"/>
              <w:rPr>
                <w:rFonts w:ascii="宋体" w:hAnsi="宋体" w:eastAsia="宋体" w:cs="宋体"/>
                <w:szCs w:val="21"/>
                <w:highlight w:val="none"/>
              </w:rPr>
            </w:pPr>
            <w:r>
              <w:rPr>
                <w:rFonts w:hint="eastAsia" w:ascii="宋体" w:hAnsi="宋体"/>
                <w:highlight w:val="none"/>
              </w:rPr>
              <w:t>★</w:t>
            </w:r>
            <w:r>
              <w:rPr>
                <w:rFonts w:ascii="宋体" w:hAnsi="宋体"/>
                <w:highlight w:val="none"/>
              </w:rPr>
              <w:t>(1)</w:t>
            </w:r>
            <w:r>
              <w:rPr>
                <w:rFonts w:hint="eastAsia" w:ascii="宋体" w:hAnsi="宋体"/>
                <w:highlight w:val="none"/>
              </w:rPr>
              <w:t>4人持有《中国人民共和国特种作业操作证》（低压电工作业）。2人持有《中国人民共和国特种作业操作证》（高压电工作业）。</w:t>
            </w:r>
            <w:r>
              <w:rPr>
                <w:rFonts w:hint="eastAsia" w:ascii="宋体" w:hAnsi="宋体" w:eastAsia="宋体" w:cs="宋体"/>
                <w:szCs w:val="21"/>
                <w:highlight w:val="none"/>
              </w:rPr>
              <w:t>(说明：提供有效证书复印件)</w:t>
            </w:r>
          </w:p>
          <w:p w14:paraId="1EDA88C1">
            <w:pPr>
              <w:pStyle w:val="61"/>
              <w:jc w:val="both"/>
              <w:rPr>
                <w:rFonts w:hint="default" w:ascii="宋体" w:hAnsi="宋体" w:eastAsia="宋体" w:cs="宋体"/>
                <w:sz w:val="21"/>
                <w:szCs w:val="21"/>
                <w:highlight w:val="none"/>
              </w:rPr>
            </w:pPr>
            <w:r>
              <w:rPr>
                <w:rFonts w:ascii="宋体" w:hAnsi="宋体"/>
                <w:highlight w:val="none"/>
              </w:rPr>
              <w:t>★</w:t>
            </w:r>
            <w:r>
              <w:rPr>
                <w:rFonts w:ascii="宋体" w:hAnsi="宋体" w:eastAsia="宋体" w:cs="宋体"/>
                <w:sz w:val="21"/>
                <w:szCs w:val="21"/>
                <w:highlight w:val="none"/>
                <w:lang w:eastAsia="zh-CN"/>
              </w:rPr>
              <w:t>（2）</w:t>
            </w:r>
            <w:r>
              <w:rPr>
                <w:rFonts w:ascii="宋体" w:hAnsi="宋体" w:eastAsia="宋体" w:cs="宋体"/>
                <w:sz w:val="21"/>
                <w:szCs w:val="21"/>
                <w:highlight w:val="none"/>
              </w:rPr>
              <w:t>不少于1名人员具有人社部门或人社部门备案的评价组织颁发的电工二级(技师)及以上职业技能等级证书。(说明：提供有效证书复印件，评价组织须备案的还应提供评价组织备案证明材料)</w:t>
            </w:r>
          </w:p>
          <w:p w14:paraId="5A39FFD4">
            <w:pPr>
              <w:pStyle w:val="61"/>
              <w:jc w:val="both"/>
              <w:rPr>
                <w:rFonts w:hint="default" w:ascii="宋体" w:hAnsi="宋体" w:eastAsia="宋体" w:cs="宋体"/>
                <w:sz w:val="21"/>
                <w:szCs w:val="21"/>
                <w:highlight w:val="none"/>
              </w:rPr>
            </w:pPr>
            <w:r>
              <w:rPr>
                <w:rFonts w:ascii="宋体" w:hAnsi="宋体"/>
                <w:highlight w:val="none"/>
              </w:rPr>
              <w:t>★</w:t>
            </w:r>
            <w:r>
              <w:rPr>
                <w:rFonts w:ascii="宋体" w:hAnsi="宋体" w:eastAsia="宋体" w:cs="宋体"/>
                <w:sz w:val="21"/>
                <w:szCs w:val="21"/>
                <w:highlight w:val="none"/>
                <w:lang w:eastAsia="zh-CN"/>
              </w:rPr>
              <w:t>（3）不少于</w:t>
            </w:r>
            <w:r>
              <w:rPr>
                <w:rFonts w:ascii="宋体" w:hAnsi="宋体" w:eastAsia="宋体" w:cs="宋体"/>
                <w:sz w:val="21"/>
                <w:szCs w:val="21"/>
                <w:highlight w:val="none"/>
              </w:rPr>
              <w:t>1名</w:t>
            </w:r>
            <w:r>
              <w:rPr>
                <w:rFonts w:ascii="宋体" w:hAnsi="宋体" w:eastAsia="宋体" w:cs="宋体"/>
                <w:sz w:val="21"/>
                <w:szCs w:val="21"/>
                <w:highlight w:val="none"/>
                <w:lang w:eastAsia="zh-CN"/>
              </w:rPr>
              <w:t>人员</w:t>
            </w:r>
            <w:r>
              <w:rPr>
                <w:rFonts w:ascii="宋体" w:hAnsi="宋体" w:eastAsia="宋体" w:cs="宋体"/>
                <w:sz w:val="21"/>
                <w:szCs w:val="21"/>
                <w:highlight w:val="none"/>
              </w:rPr>
              <w:t>持有效《中华人民共和国特种设备安全管理和作业人员证》（项目代号：A）或旧版《中华人民共和国特种设备安全管理人员证》（项目代号：A4）证书。</w:t>
            </w:r>
          </w:p>
          <w:p w14:paraId="6226458F">
            <w:pPr>
              <w:pStyle w:val="61"/>
              <w:jc w:val="both"/>
              <w:rPr>
                <w:rFonts w:hint="default" w:ascii="宋体" w:hAnsi="宋体" w:eastAsia="宋体" w:cs="宋体"/>
                <w:sz w:val="21"/>
                <w:szCs w:val="21"/>
                <w:highlight w:val="none"/>
              </w:rPr>
            </w:pPr>
            <w:r>
              <w:rPr>
                <w:rFonts w:ascii="宋体" w:hAnsi="宋体" w:eastAsia="宋体" w:cs="宋体"/>
                <w:sz w:val="21"/>
                <w:szCs w:val="21"/>
                <w:highlight w:val="none"/>
              </w:rPr>
              <w:t>★（4）不少于1人具有人社部门焊工（三级）及以上职业资格证或应急部门有效的《中华人民共和国特种作业操作证》（熔化焊接与热切割作业）操作证。（说明：提供有效证书复印件</w:t>
            </w:r>
          </w:p>
          <w:p w14:paraId="7ECFA359">
            <w:pPr>
              <w:numPr>
                <w:ilvl w:val="0"/>
                <w:numId w:val="6"/>
              </w:numPr>
              <w:spacing w:line="273" w:lineRule="auto"/>
              <w:rPr>
                <w:rFonts w:ascii="宋体" w:hAnsi="宋体"/>
                <w:highlight w:val="none"/>
              </w:rPr>
            </w:pPr>
            <w:r>
              <w:rPr>
                <w:rFonts w:hint="eastAsia" w:ascii="宋体" w:hAnsi="宋体"/>
                <w:highlight w:val="none"/>
              </w:rPr>
              <w:t>熟悉电路的基本维护，能够对电气设备进行正常运用操作及保养。</w:t>
            </w:r>
          </w:p>
          <w:p w14:paraId="6E2AFF79">
            <w:pPr>
              <w:wordWrap w:val="0"/>
              <w:spacing w:line="280" w:lineRule="atLeast"/>
              <w:ind w:right="20"/>
              <w:textAlignment w:val="baseline"/>
              <w:rPr>
                <w:highlight w:val="none"/>
              </w:rPr>
            </w:pPr>
            <w:r>
              <w:rPr>
                <w:rFonts w:hint="eastAsia" w:ascii="宋体" w:hAnsi="宋体" w:eastAsia="宋体" w:cs="宋体"/>
                <w:szCs w:val="21"/>
                <w:highlight w:val="none"/>
              </w:rPr>
              <w:t>（6）休息日及法定节假日期间每天至少保持有3名人员值班（每人每天值班时长为8h，休息日值班可安排调休）。</w:t>
            </w:r>
          </w:p>
        </w:tc>
      </w:tr>
      <w:tr w14:paraId="27BF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4AC84F1">
            <w:pPr>
              <w:spacing w:line="273" w:lineRule="auto"/>
              <w:rPr>
                <w:rFonts w:ascii="宋体" w:hAnsi="宋体"/>
                <w:highlight w:val="none"/>
              </w:rPr>
            </w:pPr>
            <w:r>
              <w:rPr>
                <w:rFonts w:hint="eastAsia" w:ascii="宋体" w:hAnsi="宋体"/>
                <w:highlight w:val="none"/>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519BC5E8">
            <w:pPr>
              <w:spacing w:line="273" w:lineRule="auto"/>
              <w:rPr>
                <w:rFonts w:ascii="宋体" w:hAnsi="宋体"/>
                <w:highlight w:val="none"/>
              </w:rPr>
            </w:pPr>
            <w:r>
              <w:rPr>
                <w:rFonts w:hint="eastAsia" w:ascii="宋体" w:hAnsi="宋体"/>
                <w:highlight w:val="none"/>
              </w:rPr>
              <w:t>9</w:t>
            </w:r>
            <w:r>
              <w:rPr>
                <w:rFonts w:ascii="宋体" w:hAnsi="宋体"/>
                <w:highlight w:val="none"/>
              </w:rPr>
              <w:t>5</w:t>
            </w:r>
            <w:r>
              <w:rPr>
                <w:rFonts w:hint="eastAsia" w:ascii="宋体" w:hAnsi="宋体"/>
                <w:highlight w:val="none"/>
              </w:rPr>
              <w:t>人</w:t>
            </w:r>
          </w:p>
        </w:tc>
        <w:tc>
          <w:tcPr>
            <w:tcW w:w="2970" w:type="dxa"/>
            <w:tcBorders>
              <w:top w:val="single" w:color="auto" w:sz="4" w:space="0"/>
              <w:left w:val="single" w:color="auto" w:sz="4" w:space="0"/>
              <w:bottom w:val="single" w:color="auto" w:sz="4" w:space="0"/>
              <w:right w:val="single" w:color="auto" w:sz="4" w:space="0"/>
            </w:tcBorders>
            <w:vAlign w:val="center"/>
          </w:tcPr>
          <w:p w14:paraId="57359350">
            <w:pPr>
              <w:spacing w:line="273" w:lineRule="auto"/>
              <w:rPr>
                <w:rFonts w:ascii="宋体" w:hAnsi="宋体"/>
                <w:highlight w:val="none"/>
              </w:rPr>
            </w:pPr>
          </w:p>
        </w:tc>
        <w:tc>
          <w:tcPr>
            <w:tcW w:w="4238" w:type="dxa"/>
            <w:tcBorders>
              <w:top w:val="single" w:color="auto" w:sz="4" w:space="0"/>
              <w:left w:val="single" w:color="auto" w:sz="4" w:space="0"/>
              <w:bottom w:val="single" w:color="auto" w:sz="4" w:space="0"/>
              <w:right w:val="single" w:color="auto" w:sz="4" w:space="0"/>
            </w:tcBorders>
            <w:vAlign w:val="center"/>
          </w:tcPr>
          <w:p w14:paraId="171FF4D7">
            <w:pPr>
              <w:spacing w:line="273" w:lineRule="auto"/>
              <w:rPr>
                <w:rFonts w:ascii="宋体" w:hAnsi="宋体"/>
                <w:highlight w:val="none"/>
              </w:rPr>
            </w:pPr>
          </w:p>
        </w:tc>
      </w:tr>
    </w:tbl>
    <w:p w14:paraId="3F75390A">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w:t>
      </w:r>
      <w:bookmarkEnd w:id="24"/>
      <w:r>
        <w:rPr>
          <w:rFonts w:ascii="宋体" w:hAnsi="宋体"/>
          <w:bCs/>
          <w:color w:val="000000" w:themeColor="text1"/>
          <w:sz w:val="24"/>
          <w:szCs w:val="24"/>
          <w:highlight w:val="none"/>
          <w14:textFill>
            <w14:solidFill>
              <w14:schemeClr w14:val="tx1"/>
            </w14:solidFill>
          </w14:textFill>
        </w:rPr>
        <w:t>9</w:t>
      </w:r>
      <w:r>
        <w:rPr>
          <w:rFonts w:hint="eastAsia" w:ascii="宋体" w:hAnsi="宋体"/>
          <w:bCs/>
          <w:color w:val="000000" w:themeColor="text1"/>
          <w:sz w:val="24"/>
          <w:szCs w:val="24"/>
          <w:highlight w:val="none"/>
          <w14:textFill>
            <w14:solidFill>
              <w14:schemeClr w14:val="tx1"/>
            </w14:solidFill>
          </w14:textFill>
        </w:rPr>
        <w:t>.2中标人响应的岗位及服务人数不得低于此最低配置标准，中标人可多于、优于此配置。</w:t>
      </w:r>
    </w:p>
    <w:p w14:paraId="4D5A35CD">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w:t>
      </w:r>
      <w:r>
        <w:rPr>
          <w:rFonts w:ascii="宋体" w:hAnsi="宋体"/>
          <w:bCs/>
          <w:color w:val="000000" w:themeColor="text1"/>
          <w:sz w:val="24"/>
          <w:szCs w:val="24"/>
          <w:highlight w:val="none"/>
          <w14:textFill>
            <w14:solidFill>
              <w14:schemeClr w14:val="tx1"/>
            </w14:solidFill>
          </w14:textFill>
        </w:rPr>
        <w:t>9</w:t>
      </w:r>
      <w:r>
        <w:rPr>
          <w:rFonts w:hint="eastAsia" w:ascii="宋体" w:hAnsi="宋体"/>
          <w:bCs/>
          <w:color w:val="000000" w:themeColor="text1"/>
          <w:sz w:val="24"/>
          <w:szCs w:val="24"/>
          <w:highlight w:val="none"/>
          <w14:textFill>
            <w14:solidFill>
              <w14:schemeClr w14:val="tx1"/>
            </w14:solidFill>
          </w14:textFill>
        </w:rPr>
        <w:t>.3中标人应专业、科学、合理的配置人员，应根据物业管理的范围、内容和标准要求确定服务区域和岗位，做到“定区定岗定责”，按需设岗。</w:t>
      </w:r>
    </w:p>
    <w:p w14:paraId="79286DDB">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4合同签订之前，供应商应提供拟实际派遣人员名单和所派遣人员的身份证，以及其他须提交的相关证明材料原件供采购人查验并上交复印件，如未提供或所提交的材料与实际提供的服务情况不符，采购人有权单方面不予签订合同，不予签订的的通知自到达供应商时生效。</w:t>
      </w:r>
    </w:p>
    <w:p w14:paraId="2EB61E3A">
      <w:pPr>
        <w:spacing w:line="460" w:lineRule="exact"/>
        <w:ind w:firstLine="480" w:firstLineChars="200"/>
        <w:rPr>
          <w:rFonts w:ascii="宋体" w:hAnsi="宋体"/>
          <w:b/>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.5合同执行过程中，中标人选派的项目经理、办公楼主管、秩序维护主管、环境维护主管、工程技术主管及需持证上岗人员须与合同签订时指派的人员一致， 若需出现人员更换，须及时上报采购人，经采购人同意认可后方可更换，未经采购人同意更换项目经理的扣款10000元/次，更换其他人员（办公楼主管、秩序维护主管、环境维护主管、工程技术主管及需持证上岗人员）的扣款5000元/人/次，且采购人有权终止与中标人人的服务合同。</w:t>
      </w:r>
      <w:r>
        <w:rPr>
          <w:rFonts w:hint="eastAsia" w:ascii="宋体" w:hAnsi="宋体"/>
          <w:b/>
          <w:bCs/>
          <w:color w:val="000000" w:themeColor="text1"/>
          <w:sz w:val="24"/>
          <w:szCs w:val="24"/>
          <w:highlight w:val="none"/>
          <w14:textFill>
            <w14:solidFill>
              <w14:schemeClr w14:val="tx1"/>
            </w14:solidFill>
          </w14:textFill>
        </w:rPr>
        <w:t>（中标人应在响应文件中提供专项承诺函，未提供视为未实质性响应）</w:t>
      </w:r>
    </w:p>
    <w:p w14:paraId="4AA23119">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.6采购人将对前期进场的主要管理人员、重要岗位人员、工程技术人员等进行考核，如在培训、熟悉环境过程中发现其不能胜任的，采购人可要求无条件更换，直至胜任为止。</w:t>
      </w:r>
    </w:p>
    <w:p w14:paraId="680BBC61">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.7因本项目属于人员密集性公共场所，具有在校师生数量大、安全管理要求高、紧急救护情况多等特性，中标人须进行一般救护基本知识及技能培训，应对突发事件处理。</w:t>
      </w:r>
    </w:p>
    <w:p w14:paraId="048FF367">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bookmarkStart w:id="25" w:name="_Hlk101826609"/>
      <w:r>
        <w:rPr>
          <w:rFonts w:ascii="宋体" w:hAnsi="宋体"/>
          <w:bCs/>
          <w:color w:val="000000" w:themeColor="text1"/>
          <w:sz w:val="24"/>
          <w:szCs w:val="24"/>
          <w:highlight w:val="none"/>
          <w14:textFill>
            <w14:solidFill>
              <w14:schemeClr w14:val="tx1"/>
            </w14:solidFill>
          </w14:textFill>
        </w:rPr>
        <w:t>3.</w:t>
      </w:r>
      <w:bookmarkEnd w:id="25"/>
      <w:r>
        <w:rPr>
          <w:rFonts w:ascii="宋体" w:hAnsi="宋体"/>
          <w:bCs/>
          <w:color w:val="000000" w:themeColor="text1"/>
          <w:sz w:val="24"/>
          <w:szCs w:val="24"/>
          <w:highlight w:val="none"/>
          <w14:textFill>
            <w14:solidFill>
              <w14:schemeClr w14:val="tx1"/>
            </w14:solidFill>
          </w14:textFill>
        </w:rPr>
        <w:t>9</w:t>
      </w:r>
      <w:r>
        <w:rPr>
          <w:rFonts w:hint="eastAsia" w:ascii="宋体" w:hAnsi="宋体"/>
          <w:bCs/>
          <w:color w:val="000000" w:themeColor="text1"/>
          <w:sz w:val="24"/>
          <w:szCs w:val="24"/>
          <w:highlight w:val="none"/>
          <w14:textFill>
            <w14:solidFill>
              <w14:schemeClr w14:val="tx1"/>
            </w14:solidFill>
          </w14:textFill>
        </w:rPr>
        <w:t>.8中标人应按照国家劳动法及成都市的用工规定，聘用物业管理服务人员，与项目全部物业服务人员签订《劳动合同》，并全员购买社保。</w:t>
      </w:r>
    </w:p>
    <w:p w14:paraId="4B38CF31">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.9中标人须承诺加强人员管理和人员培训，保持队伍的稳定性，人员年流动率不超过20%。</w:t>
      </w:r>
      <w:r>
        <w:rPr>
          <w:rFonts w:hint="eastAsia" w:ascii="宋体" w:hAnsi="宋体" w:cs="宋体"/>
          <w:b/>
          <w:bCs/>
          <w:color w:val="000000" w:themeColor="text1"/>
          <w:kern w:val="0"/>
          <w:sz w:val="24"/>
          <w:highlight w:val="none"/>
          <w14:textFill>
            <w14:solidFill>
              <w14:schemeClr w14:val="tx1"/>
            </w14:solidFill>
          </w14:textFill>
        </w:rPr>
        <w:t>（提供承诺函）</w:t>
      </w:r>
    </w:p>
    <w:p w14:paraId="05E445B0">
      <w:pPr>
        <w:spacing w:line="46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3.9</w:t>
      </w:r>
      <w:r>
        <w:rPr>
          <w:rFonts w:hint="eastAsia" w:ascii="宋体" w:hAnsi="宋体"/>
          <w:bCs/>
          <w:color w:val="000000" w:themeColor="text1"/>
          <w:sz w:val="24"/>
          <w:szCs w:val="24"/>
          <w:highlight w:val="none"/>
          <w14:textFill>
            <w14:solidFill>
              <w14:schemeClr w14:val="tx1"/>
            </w14:solidFill>
          </w14:textFill>
        </w:rPr>
        <w:t>.10物业管理的人员应熟练掌握学校物业管理知识，经培训合格后上岗；物业管理项目管理人员应具备相应的工作经验和能力；专业技术操作人员应取得专业资格证书。</w:t>
      </w:r>
    </w:p>
    <w:p w14:paraId="3BAD51A3">
      <w:pPr>
        <w:spacing w:line="460" w:lineRule="exact"/>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ascii="宋体" w:hAnsi="宋体"/>
          <w:b/>
          <w:color w:val="000000" w:themeColor="text1"/>
          <w:sz w:val="24"/>
          <w:szCs w:val="24"/>
          <w:highlight w:val="none"/>
          <w14:textFill>
            <w14:solidFill>
              <w14:schemeClr w14:val="tx1"/>
            </w14:solidFill>
          </w14:textFill>
        </w:rPr>
        <w:t>10</w:t>
      </w:r>
      <w:r>
        <w:rPr>
          <w:rFonts w:hint="eastAsia" w:ascii="宋体" w:hAnsi="宋体"/>
          <w:b/>
          <w:color w:val="000000" w:themeColor="text1"/>
          <w:sz w:val="24"/>
          <w:szCs w:val="24"/>
          <w:highlight w:val="none"/>
          <w14:textFill>
            <w14:solidFill>
              <w14:schemeClr w14:val="tx1"/>
            </w14:solidFill>
          </w14:textFill>
        </w:rPr>
        <w:t>其他要求</w:t>
      </w:r>
    </w:p>
    <w:p w14:paraId="66D2870B">
      <w:pPr>
        <w:pStyle w:val="8"/>
        <w:rPr>
          <w:color w:val="000000" w:themeColor="text1"/>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3.</w:t>
      </w:r>
      <w:r>
        <w:rPr>
          <w:rFonts w:ascii="宋体" w:hAnsi="宋体"/>
          <w:b/>
          <w:color w:val="000000" w:themeColor="text1"/>
          <w:sz w:val="24"/>
          <w:szCs w:val="24"/>
          <w:highlight w:val="none"/>
          <w14:textFill>
            <w14:solidFill>
              <w14:schemeClr w14:val="tx1"/>
            </w14:solidFill>
          </w14:textFill>
        </w:rPr>
        <w:t>10</w:t>
      </w:r>
      <w:r>
        <w:rPr>
          <w:rFonts w:hint="eastAsia" w:ascii="宋体" w:hAnsi="宋体"/>
          <w:b/>
          <w:color w:val="000000" w:themeColor="text1"/>
          <w:sz w:val="24"/>
          <w:szCs w:val="24"/>
          <w:highlight w:val="none"/>
          <w14:textFill>
            <w14:solidFill>
              <w14:schemeClr w14:val="tx1"/>
            </w14:solidFill>
          </w14:textFill>
        </w:rPr>
        <w:t>.1 其他服务要求</w:t>
      </w:r>
    </w:p>
    <w:p w14:paraId="41A7F08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（1）管理及服务人须员统一着装、佩戴标志，行为规范，服务主动热情。安全护卫人员要求备勤人员在校居住。保洁工作应明确工作内容和工作要点，制定出具体的工作标准、检查标准。</w:t>
      </w:r>
    </w:p>
    <w:p w14:paraId="6F5EF24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）中标人根据有关物业管理法规和物业委托管理合同对该物业项目实行统一管理，综合服务，自主经营，自负盈亏。</w:t>
      </w:r>
    </w:p>
    <w:p w14:paraId="6BF658E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）中标人</w:t>
      </w:r>
      <w:r>
        <w:rPr>
          <w:rFonts w:hint="eastAsia" w:ascii="宋体" w:hAnsi="宋体" w:cs="宋体"/>
          <w:color w:val="000000" w:themeColor="text1"/>
          <w:kern w:val="0"/>
          <w:sz w:val="24"/>
          <w:highlight w:val="none"/>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物业管理</w:t>
      </w:r>
      <w:r>
        <w:rPr>
          <w:rFonts w:hint="eastAsia" w:ascii="宋体" w:hAnsi="宋体" w:cs="宋体"/>
          <w:color w:val="000000" w:themeColor="text1"/>
          <w:kern w:val="0"/>
          <w:sz w:val="24"/>
          <w:highlight w:val="none"/>
          <w14:textFill>
            <w14:solidFill>
              <w14:schemeClr w14:val="tx1"/>
            </w14:solidFill>
          </w14:textFill>
        </w:rPr>
        <w:t>服务中的一切风险（包括</w:t>
      </w:r>
      <w:r>
        <w:rPr>
          <w:rFonts w:hint="eastAsia" w:ascii="宋体" w:hAnsi="宋体"/>
          <w:color w:val="000000" w:themeColor="text1"/>
          <w:kern w:val="0"/>
          <w:sz w:val="24"/>
          <w:szCs w:val="24"/>
          <w:highlight w:val="none"/>
          <w14:textFill>
            <w14:solidFill>
              <w14:schemeClr w14:val="tx1"/>
            </w14:solidFill>
          </w14:textFill>
        </w:rPr>
        <w:t>但不限于</w:t>
      </w:r>
      <w:r>
        <w:rPr>
          <w:rFonts w:hint="eastAsia" w:ascii="宋体" w:hAnsi="宋体"/>
          <w:color w:val="000000" w:themeColor="text1"/>
          <w:sz w:val="24"/>
          <w:highlight w:val="none"/>
          <w14:textFill>
            <w14:solidFill>
              <w14:schemeClr w14:val="tx1"/>
            </w14:solidFill>
          </w14:textFill>
        </w:rPr>
        <w:t>物业管理</w:t>
      </w:r>
      <w:r>
        <w:rPr>
          <w:rFonts w:hint="eastAsia" w:ascii="宋体" w:hAnsi="宋体" w:cs="宋体"/>
          <w:color w:val="000000" w:themeColor="text1"/>
          <w:kern w:val="0"/>
          <w:sz w:val="24"/>
          <w:highlight w:val="none"/>
          <w14:textFill>
            <w14:solidFill>
              <w14:schemeClr w14:val="tx1"/>
            </w14:solidFill>
          </w14:textFill>
        </w:rPr>
        <w:t>人员安全事故责任、与第三方的劳务纠纷、内部的劳务纠纷及第三方的人员伤害等）均由</w:t>
      </w:r>
      <w:r>
        <w:rPr>
          <w:rFonts w:hint="eastAsia" w:ascii="宋体" w:hAnsi="宋体"/>
          <w:color w:val="000000" w:themeColor="text1"/>
          <w:sz w:val="24"/>
          <w:highlight w:val="none"/>
          <w14:textFill>
            <w14:solidFill>
              <w14:schemeClr w14:val="tx1"/>
            </w14:solidFill>
          </w14:textFill>
        </w:rPr>
        <w:t>物业公司</w:t>
      </w:r>
      <w:r>
        <w:rPr>
          <w:rFonts w:hint="eastAsia" w:ascii="宋体" w:hAnsi="宋体" w:cs="宋体"/>
          <w:color w:val="000000" w:themeColor="text1"/>
          <w:kern w:val="0"/>
          <w:sz w:val="24"/>
          <w:highlight w:val="none"/>
          <w14:textFill>
            <w14:solidFill>
              <w14:schemeClr w14:val="tx1"/>
            </w14:solidFill>
          </w14:textFill>
        </w:rPr>
        <w:t>独自承担责任。</w:t>
      </w:r>
      <w:r>
        <w:rPr>
          <w:rFonts w:hint="eastAsia" w:ascii="宋体" w:hAnsi="宋体" w:cs="宋体"/>
          <w:b/>
          <w:bCs/>
          <w:color w:val="000000" w:themeColor="text1"/>
          <w:kern w:val="0"/>
          <w:sz w:val="24"/>
          <w:highlight w:val="none"/>
          <w14:textFill>
            <w14:solidFill>
              <w14:schemeClr w14:val="tx1"/>
            </w14:solidFill>
          </w14:textFill>
        </w:rPr>
        <w:t>（提供承诺函）</w:t>
      </w:r>
    </w:p>
    <w:p w14:paraId="2FE9522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）物业公司须承诺根据学校需求，完成国家、学校考试及大型活动需要的教室桌椅、照明、清洁、门窗、附属设施及水电的准备保障工作，配合场地的布置和安排。</w:t>
      </w:r>
      <w:r>
        <w:rPr>
          <w:rFonts w:hint="eastAsia" w:ascii="宋体" w:hAnsi="宋体" w:cs="宋体"/>
          <w:b/>
          <w:bCs/>
          <w:color w:val="000000" w:themeColor="text1"/>
          <w:kern w:val="0"/>
          <w:sz w:val="24"/>
          <w:highlight w:val="none"/>
          <w14:textFill>
            <w14:solidFill>
              <w14:schemeClr w14:val="tx1"/>
            </w14:solidFill>
          </w14:textFill>
        </w:rPr>
        <w:t>（提供承诺函）</w:t>
      </w:r>
    </w:p>
    <w:p w14:paraId="032FCD0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）严禁中标人员工以各种理由破坏学校各种设施，一经核实为中标人员工所为，学校将追究中标人的法律责任。</w:t>
      </w:r>
    </w:p>
    <w:p w14:paraId="1A784AE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）严禁中标人员工以各种名义在管理范围内开设商店、擅自出租教室等经营活动；严禁在管理范围内生火做饭、违规用电及及其他影响学校办公、教学的各种活动。</w:t>
      </w:r>
    </w:p>
    <w:p w14:paraId="4D41ED68">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中标人所用维修材料与品质应符合国家相关规定且不低于现有维修服务标准与要求。配电盘柜内开关及相关配件不能随意更换，卫生间内洁具、阀门、水龙头等配件不能随意更换，更换前需通知采购人进行相关检查。 </w:t>
      </w:r>
    </w:p>
    <w:p w14:paraId="3EABD8EA">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在合同期内，严禁中标人使用强酸、强碱等具有腐蚀性的溶剂溶液进行保洁作业，如若因此而造成建筑本体及地面、墙面、设施设备的损坏，在规定时间内，由中标人负责还原或换新。</w:t>
      </w:r>
    </w:p>
    <w:p w14:paraId="2DE5A011">
      <w:pPr>
        <w:adjustRightInd w:val="0"/>
        <w:spacing w:line="560" w:lineRule="exact"/>
        <w:ind w:firstLine="480" w:firstLineChars="200"/>
        <w:textAlignment w:val="baseline"/>
        <w:rPr>
          <w:rFonts w:asciiTheme="minorEastAsia" w:hAnsiTheme="minorEastAsia" w:cstheme="minorEastAsia"/>
          <w:sz w:val="24"/>
          <w:highlight w:val="none"/>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w:t>
      </w:r>
      <w:r>
        <w:rPr>
          <w:rFonts w:hint="eastAsia" w:asciiTheme="minorEastAsia" w:hAnsiTheme="minorEastAsia" w:cstheme="minorEastAsia"/>
          <w:sz w:val="24"/>
          <w:highlight w:val="none"/>
        </w:rPr>
        <w:t>中标人根据有关物业管理法规和物业委托管理合同对该物业项目实行统一管理，综合服务，自主经营，自负盈亏。对于采购人在特殊情况下提出的保洁、值守、维修、秩序维护、疫情防控、演习演练等需求，须及时响应并按要求完成。因工作需要产生的额外加班，由中标人自行支付。</w:t>
      </w:r>
    </w:p>
    <w:p w14:paraId="6BD67615">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 xml:space="preserve">）中标人有责任配合采购人接受上级领导部门的监督、检查，提供必须的资料。  </w:t>
      </w:r>
    </w:p>
    <w:p w14:paraId="73326C99">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 xml:space="preserve">）中标人须对其招聘人员的疾病和人身安全等负责，采购人对此不承担任何的责任和义务。上岗人员办理的相关证件费用等，均由中标人自行负责承担，采购人不得另行支付费用； </w:t>
      </w:r>
    </w:p>
    <w:p w14:paraId="5293998A">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中标人要有严格的规章制度，服务人员100%经过岗前培训合格才上岗，杜绝物管人员到位后，无人管理无人监督现象；与采购人建立良好的沟通机制，明确分管负责人及联络人。接受采购人对工作质量的监督与考核。</w:t>
      </w:r>
    </w:p>
    <w:p w14:paraId="24A25A53">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 xml:space="preserve">）中标人自行负责其招聘员工的一切工资、福利等，工资待遇不得低于国家和地方政府的相关法律、法规和部门规章规定的最低标准；中标人需为员工购买社保和意外保险，如发生工伤、疾病乃至死亡的一切责任及费用由中标人全部负责； </w:t>
      </w:r>
    </w:p>
    <w:p w14:paraId="550C44A4">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中标人需建立完全的保密管理制度，加强服务人员保密培训，保密措施到位，对管理服务中可能接触到的档案以及机关、领导和工作人员的个人机密、秘密的，必须做好保密工作，如发生失泄密事件，依法追究中标人责任。</w:t>
      </w:r>
      <w:r>
        <w:rPr>
          <w:rFonts w:hint="eastAsia" w:ascii="宋体" w:hAnsi="宋体" w:cs="宋体"/>
          <w:b/>
          <w:bCs/>
          <w:color w:val="000000" w:themeColor="text1"/>
          <w:kern w:val="0"/>
          <w:sz w:val="24"/>
          <w:highlight w:val="none"/>
          <w14:textFill>
            <w14:solidFill>
              <w14:schemeClr w14:val="tx1"/>
            </w14:solidFill>
          </w14:textFill>
        </w:rPr>
        <w:t>（提供承诺函）</w:t>
      </w:r>
    </w:p>
    <w:p w14:paraId="05FD9719">
      <w:pPr>
        <w:pStyle w:val="8"/>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）相关物资、设备、材料、生活条件提供要求</w:t>
      </w:r>
    </w:p>
    <w:p w14:paraId="73D4155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）教室粉笔、黑板刷等耗材由中标人负责配备。</w:t>
      </w:r>
    </w:p>
    <w:p w14:paraId="2DE2165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）本项目所需配备的工具、器具、耗材（包括卫生间内卷纸盒、抽纸盒、 皂液盒损坏后的更换以及盒内配置卷纸、抽纸、皂液的补充等）、机器及员工服装等由中标人自行提供，须保证足够的专业、高效、节能、环保、静音的作业机具,自行解决后勤管理服务时所需的日常工具和劳保用品,并能根据采购人的形象要求及规范，保证文明工作。 </w:t>
      </w:r>
    </w:p>
    <w:p w14:paraId="28AB69EE">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）在保证节能、环保的前提下，公用水电（包括中央空调、清洁卫生、办公、生活等各类用水；消防、水泵、照明、电梯、各类机电设备）费用由采购人承担。</w:t>
      </w:r>
    </w:p>
    <w:p w14:paraId="0304D9D9">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）采购人将提供中标人管理办公用房，在服务期限内提供给中标人无条件使用。</w:t>
      </w:r>
    </w:p>
    <w:p w14:paraId="2FA4632D">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）配备的卫生间内卷纸盒、抽纸盒、皂液盒、盒内配置卷纸、抽纸、洗手液及第一办公楼和第三办公楼使用的抽纸、手帕纸、湿巾纸、一次性纸盘等，不得低于采购人现有使用标准，现行标准如下（详见表</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p>
    <w:p w14:paraId="5C7B42AE">
      <w:pPr>
        <w:ind w:firstLine="420" w:firstLineChars="20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表4</w:t>
      </w:r>
    </w:p>
    <w:tbl>
      <w:tblPr>
        <w:tblStyle w:val="14"/>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807"/>
        <w:gridCol w:w="5634"/>
      </w:tblGrid>
      <w:tr w14:paraId="0F5E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19" w:type="pct"/>
            <w:vAlign w:val="center"/>
          </w:tcPr>
          <w:p w14:paraId="18A26561">
            <w:pPr>
              <w:adjustRightInd w:val="0"/>
              <w:snapToGrid w:val="0"/>
              <w:jc w:val="center"/>
              <w:rPr>
                <w:rFonts w:asciiTheme="minorEastAsia" w:hAnsiTheme="minorEastAsia" w:cstheme="minorEastAsia"/>
                <w:kern w:val="0"/>
                <w:sz w:val="18"/>
                <w:szCs w:val="18"/>
                <w:highlight w:val="none"/>
              </w:rPr>
            </w:pPr>
            <w:r>
              <w:rPr>
                <w:rFonts w:hint="eastAsia" w:asciiTheme="minorEastAsia" w:hAnsiTheme="minorEastAsia" w:cstheme="minorEastAsia"/>
                <w:kern w:val="0"/>
                <w:sz w:val="18"/>
                <w:szCs w:val="18"/>
                <w:highlight w:val="none"/>
              </w:rPr>
              <w:t>服务区域</w:t>
            </w:r>
          </w:p>
        </w:tc>
        <w:tc>
          <w:tcPr>
            <w:tcW w:w="486" w:type="pct"/>
            <w:vAlign w:val="center"/>
          </w:tcPr>
          <w:p w14:paraId="08AD3DFF">
            <w:pPr>
              <w:adjustRightInd w:val="0"/>
              <w:snapToGrid w:val="0"/>
              <w:jc w:val="center"/>
              <w:rPr>
                <w:rFonts w:asciiTheme="minorEastAsia" w:hAnsiTheme="minorEastAsia" w:cstheme="minorEastAsia"/>
                <w:kern w:val="0"/>
                <w:sz w:val="18"/>
                <w:szCs w:val="18"/>
                <w:highlight w:val="none"/>
              </w:rPr>
            </w:pPr>
            <w:r>
              <w:rPr>
                <w:rFonts w:hint="eastAsia" w:asciiTheme="minorEastAsia" w:hAnsiTheme="minorEastAsia" w:cstheme="minorEastAsia"/>
                <w:kern w:val="0"/>
                <w:sz w:val="18"/>
                <w:szCs w:val="18"/>
                <w:highlight w:val="none"/>
              </w:rPr>
              <w:t>品目</w:t>
            </w:r>
          </w:p>
        </w:tc>
        <w:tc>
          <w:tcPr>
            <w:tcW w:w="3393" w:type="pct"/>
            <w:vAlign w:val="center"/>
          </w:tcPr>
          <w:p w14:paraId="45C17C82">
            <w:pPr>
              <w:adjustRightInd w:val="0"/>
              <w:snapToGrid w:val="0"/>
              <w:jc w:val="center"/>
              <w:rPr>
                <w:rFonts w:asciiTheme="minorEastAsia" w:hAnsiTheme="minorEastAsia" w:cstheme="minorEastAsia"/>
                <w:kern w:val="0"/>
                <w:sz w:val="18"/>
                <w:szCs w:val="18"/>
                <w:highlight w:val="none"/>
              </w:rPr>
            </w:pPr>
            <w:r>
              <w:rPr>
                <w:rFonts w:hint="eastAsia" w:asciiTheme="minorEastAsia" w:hAnsiTheme="minorEastAsia" w:cstheme="minorEastAsia"/>
                <w:kern w:val="0"/>
                <w:sz w:val="18"/>
                <w:szCs w:val="18"/>
                <w:highlight w:val="none"/>
              </w:rPr>
              <w:t>规格型号</w:t>
            </w:r>
          </w:p>
        </w:tc>
      </w:tr>
      <w:tr w14:paraId="1ED7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restart"/>
            <w:vAlign w:val="center"/>
          </w:tcPr>
          <w:p w14:paraId="07E34995">
            <w:pPr>
              <w:adjustRightInd w:val="0"/>
              <w:snapToGrid w:val="0"/>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第一办公楼、</w:t>
            </w:r>
          </w:p>
          <w:p w14:paraId="027705F2">
            <w:pPr>
              <w:adjustRightInd w:val="0"/>
              <w:snapToGrid w:val="0"/>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第二办公楼、</w:t>
            </w:r>
          </w:p>
          <w:p w14:paraId="7A955F2B">
            <w:pPr>
              <w:adjustRightInd w:val="0"/>
              <w:snapToGrid w:val="0"/>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第三办公楼、</w:t>
            </w:r>
          </w:p>
          <w:p w14:paraId="671E5563">
            <w:pPr>
              <w:adjustRightInd w:val="0"/>
              <w:snapToGrid w:val="0"/>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第五教学楼、</w:t>
            </w:r>
          </w:p>
          <w:p w14:paraId="7565ED66">
            <w:pPr>
              <w:adjustRightInd w:val="0"/>
              <w:snapToGrid w:val="0"/>
              <w:ind w:firstLine="180" w:firstLineChars="100"/>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第六教学楼</w:t>
            </w:r>
          </w:p>
          <w:p w14:paraId="328D2D92">
            <w:pPr>
              <w:pStyle w:val="8"/>
              <w:ind w:firstLine="420"/>
              <w:jc w:val="center"/>
              <w:rPr>
                <w:rFonts w:asciiTheme="minorEastAsia" w:hAnsiTheme="minorEastAsia" w:cstheme="minorEastAsia"/>
                <w:sz w:val="18"/>
                <w:szCs w:val="18"/>
                <w:highlight w:val="none"/>
              </w:rPr>
            </w:pPr>
          </w:p>
        </w:tc>
        <w:tc>
          <w:tcPr>
            <w:tcW w:w="486" w:type="pct"/>
            <w:shd w:val="clear" w:color="auto" w:fill="auto"/>
            <w:vAlign w:val="center"/>
          </w:tcPr>
          <w:p w14:paraId="75BD1C17">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大卷纸</w:t>
            </w:r>
          </w:p>
        </w:tc>
        <w:tc>
          <w:tcPr>
            <w:tcW w:w="3393" w:type="pct"/>
            <w:shd w:val="clear" w:color="auto" w:fill="auto"/>
            <w:vAlign w:val="center"/>
          </w:tcPr>
          <w:p w14:paraId="0C8C11BD">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1.单卷重量≥800g；</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2.单节规格：94×1</w:t>
            </w:r>
            <w:r>
              <w:rPr>
                <w:rFonts w:asciiTheme="minorEastAsia" w:hAnsiTheme="minorEastAsia" w:cstheme="minorEastAsia"/>
                <w:sz w:val="18"/>
                <w:szCs w:val="18"/>
                <w:highlight w:val="none"/>
              </w:rPr>
              <w:t>1</w:t>
            </w:r>
            <w:r>
              <w:rPr>
                <w:rFonts w:hint="eastAsia" w:asciiTheme="minorEastAsia" w:hAnsiTheme="minorEastAsia" w:cstheme="minorEastAsia"/>
                <w:sz w:val="18"/>
                <w:szCs w:val="18"/>
                <w:highlight w:val="none"/>
              </w:rPr>
              <w:t>5mm±</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mm；</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3.纸芯的重量≤45g；</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4.卷纸芯直径≤8cm，卷纸直径≤24cm；</w:t>
            </w:r>
          </w:p>
          <w:p w14:paraId="1C4CD892">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.材质：原生木浆，3层；</w:t>
            </w:r>
          </w:p>
          <w:p w14:paraId="52240214">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6</w:t>
            </w:r>
            <w:r>
              <w:rPr>
                <w:rFonts w:hint="eastAsia" w:asciiTheme="minorEastAsia" w:hAnsiTheme="minorEastAsia" w:cstheme="minorEastAsia"/>
                <w:sz w:val="18"/>
                <w:szCs w:val="18"/>
                <w:highlight w:val="none"/>
              </w:rPr>
              <w:t>.质量等级：一等品；</w:t>
            </w:r>
          </w:p>
          <w:p w14:paraId="2264290B">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7</w:t>
            </w:r>
            <w:r>
              <w:rPr>
                <w:rFonts w:hint="eastAsia" w:asciiTheme="minorEastAsia" w:hAnsiTheme="minorEastAsia" w:cstheme="minorEastAsia"/>
                <w:sz w:val="18"/>
                <w:szCs w:val="18"/>
                <w:highlight w:val="none"/>
              </w:rPr>
              <w:t>.可分散性：合格；</w:t>
            </w:r>
          </w:p>
          <w:p w14:paraId="4EEE3583">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8</w:t>
            </w:r>
            <w:r>
              <w:rPr>
                <w:rFonts w:hint="eastAsia" w:asciiTheme="minorEastAsia" w:hAnsiTheme="minorEastAsia" w:cstheme="minorEastAsia"/>
                <w:sz w:val="18"/>
                <w:szCs w:val="18"/>
                <w:highlight w:val="none"/>
              </w:rPr>
              <w:t>.定量：1</w:t>
            </w:r>
            <w:r>
              <w:rPr>
                <w:rFonts w:asciiTheme="minorEastAsia" w:hAnsiTheme="minorEastAsia" w:cstheme="minorEastAsia"/>
                <w:sz w:val="18"/>
                <w:szCs w:val="18"/>
                <w:highlight w:val="none"/>
              </w:rPr>
              <w:t>6.0</w:t>
            </w: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.0</w:t>
            </w:r>
            <w:r>
              <w:rPr>
                <w:rFonts w:hint="eastAsia" w:asciiTheme="minorEastAsia" w:hAnsiTheme="minorEastAsia" w:cstheme="minorEastAsia"/>
                <w:sz w:val="18"/>
                <w:szCs w:val="18"/>
                <w:highlight w:val="none"/>
              </w:rPr>
              <w:t>g/㎡；</w:t>
            </w:r>
          </w:p>
          <w:p w14:paraId="2F6FA62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9.抗张指数：纵向：≥4.50N.m/g,横向：≥2.00N.m/g；</w:t>
            </w:r>
          </w:p>
          <w:p w14:paraId="079D775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0.横向吸液高度</w:t>
            </w:r>
            <w:r>
              <w:rPr>
                <w:rFonts w:hint="eastAsia" w:asciiTheme="minorEastAsia" w:hAnsiTheme="minorEastAsia" w:cstheme="minorEastAsia"/>
                <w:sz w:val="18"/>
                <w:szCs w:val="18"/>
                <w:highlight w:val="none"/>
              </w:rPr>
              <w:t>(成品层)</w:t>
            </w:r>
            <w:r>
              <w:rPr>
                <w:rFonts w:asciiTheme="minorEastAsia" w:hAnsiTheme="minorEastAsia" w:cstheme="minorEastAsia"/>
                <w:sz w:val="18"/>
                <w:szCs w:val="18"/>
                <w:highlight w:val="none"/>
              </w:rPr>
              <w:t>≥40mm/100s</w:t>
            </w:r>
            <w:r>
              <w:rPr>
                <w:rFonts w:hint="eastAsia" w:asciiTheme="minorEastAsia" w:hAnsiTheme="minorEastAsia" w:cstheme="minorEastAsia"/>
                <w:sz w:val="18"/>
                <w:szCs w:val="18"/>
                <w:highlight w:val="none"/>
              </w:rPr>
              <w:t>；</w:t>
            </w:r>
          </w:p>
          <w:p w14:paraId="7AF16232">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1.</w:t>
            </w:r>
            <w:r>
              <w:rPr>
                <w:rFonts w:hint="eastAsia" w:asciiTheme="minorEastAsia" w:hAnsiTheme="minorEastAsia" w:cstheme="minorEastAsia"/>
                <w:sz w:val="18"/>
                <w:szCs w:val="18"/>
                <w:highlight w:val="none"/>
              </w:rPr>
              <w:t>尘埃度：总数≤</w:t>
            </w:r>
            <w:r>
              <w:rPr>
                <w:rFonts w:asciiTheme="minorEastAsia" w:hAnsiTheme="minorEastAsia" w:cstheme="minorEastAsia"/>
                <w:sz w:val="18"/>
                <w:szCs w:val="18"/>
                <w:highlight w:val="none"/>
              </w:rPr>
              <w:t>20</w:t>
            </w:r>
            <w:r>
              <w:rPr>
                <w:rFonts w:hint="eastAsia" w:asciiTheme="minorEastAsia" w:hAnsiTheme="minorEastAsia" w:cstheme="minorEastAsia"/>
                <w:sz w:val="18"/>
                <w:szCs w:val="18"/>
                <w:highlight w:val="none"/>
              </w:rPr>
              <w:t>个/㎡；</w:t>
            </w:r>
          </w:p>
          <w:p w14:paraId="59C710C4">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2.</w:t>
            </w:r>
            <w:r>
              <w:rPr>
                <w:rFonts w:hint="eastAsia" w:asciiTheme="minorEastAsia" w:hAnsiTheme="minorEastAsia" w:cstheme="minorEastAsia"/>
                <w:sz w:val="18"/>
                <w:szCs w:val="18"/>
                <w:highlight w:val="none"/>
              </w:rPr>
              <w:t>洞眼：总数≤</w:t>
            </w:r>
            <w:r>
              <w:rPr>
                <w:rFonts w:asciiTheme="minorEastAsia" w:hAnsiTheme="minorEastAsia" w:cstheme="minorEastAsia"/>
                <w:sz w:val="18"/>
                <w:szCs w:val="18"/>
                <w:highlight w:val="none"/>
              </w:rPr>
              <w:t>6</w:t>
            </w:r>
            <w:r>
              <w:rPr>
                <w:rFonts w:hint="eastAsia" w:asciiTheme="minorEastAsia" w:hAnsiTheme="minorEastAsia" w:cstheme="minorEastAsia"/>
                <w:sz w:val="18"/>
                <w:szCs w:val="18"/>
                <w:highlight w:val="none"/>
              </w:rPr>
              <w:t>个/㎡；</w:t>
            </w:r>
          </w:p>
          <w:p w14:paraId="6CAE57A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3.</w:t>
            </w:r>
            <w:r>
              <w:rPr>
                <w:rFonts w:hint="eastAsia" w:asciiTheme="minorEastAsia" w:hAnsiTheme="minorEastAsia" w:cstheme="minorEastAsia"/>
                <w:sz w:val="18"/>
                <w:szCs w:val="18"/>
                <w:highlight w:val="none"/>
              </w:rPr>
              <w:t>柔软度（成品层纵横平均）：≤2</w:t>
            </w:r>
            <w:r>
              <w:rPr>
                <w:rFonts w:asciiTheme="minorEastAsia" w:hAnsiTheme="minorEastAsia" w:cstheme="minorEastAsia"/>
                <w:sz w:val="18"/>
                <w:szCs w:val="18"/>
                <w:highlight w:val="none"/>
              </w:rPr>
              <w:t>00 mN</w:t>
            </w:r>
            <w:r>
              <w:rPr>
                <w:rFonts w:hint="eastAsia" w:asciiTheme="minorEastAsia" w:hAnsiTheme="minorEastAsia" w:cstheme="minorEastAsia"/>
                <w:sz w:val="18"/>
                <w:szCs w:val="18"/>
                <w:highlight w:val="none"/>
              </w:rPr>
              <w:t>；</w:t>
            </w:r>
          </w:p>
          <w:p w14:paraId="58B730E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4.</w:t>
            </w:r>
            <w:r>
              <w:rPr>
                <w:rFonts w:hint="eastAsia" w:asciiTheme="minorEastAsia" w:hAnsiTheme="minorEastAsia" w:cstheme="minorEastAsia"/>
                <w:sz w:val="18"/>
                <w:szCs w:val="18"/>
                <w:highlight w:val="none"/>
              </w:rPr>
              <w:t>细菌菌落总数：≤600CFU/g；</w:t>
            </w:r>
          </w:p>
          <w:p w14:paraId="44F39091">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不得检测出大肠菌群、金黄色葡萄球菌、溶血性链球菌。</w:t>
            </w:r>
          </w:p>
        </w:tc>
      </w:tr>
      <w:tr w14:paraId="5116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4A9B9956">
            <w:pPr>
              <w:adjustRightInd w:val="0"/>
              <w:snapToGrid w:val="0"/>
              <w:jc w:val="center"/>
              <w:rPr>
                <w:rFonts w:asciiTheme="minorEastAsia" w:hAnsiTheme="minorEastAsia" w:cstheme="minorEastAsia"/>
                <w:kern w:val="0"/>
                <w:sz w:val="18"/>
                <w:szCs w:val="18"/>
                <w:highlight w:val="none"/>
              </w:rPr>
            </w:pPr>
          </w:p>
        </w:tc>
        <w:tc>
          <w:tcPr>
            <w:tcW w:w="486" w:type="pct"/>
            <w:shd w:val="clear" w:color="auto" w:fill="auto"/>
            <w:vAlign w:val="center"/>
          </w:tcPr>
          <w:p w14:paraId="1E09AF1F">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擦手纸</w:t>
            </w:r>
          </w:p>
        </w:tc>
        <w:tc>
          <w:tcPr>
            <w:tcW w:w="3393" w:type="pct"/>
            <w:shd w:val="clear" w:color="auto" w:fill="auto"/>
            <w:vAlign w:val="center"/>
          </w:tcPr>
          <w:p w14:paraId="7D1426F1">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1.单张重量：1.85g±0.5g；</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2.单张尺寸：210×215mm±</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mm；</w:t>
            </w:r>
          </w:p>
          <w:p w14:paraId="6AF8E8D2">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3.单张满水吸重（水杯中）≥9g；</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4.每包纸张数≥200抽；</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5.质量要求：优等品，二层复合；</w:t>
            </w:r>
          </w:p>
          <w:p w14:paraId="6BF059D9">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6.材质：原生木浆；</w:t>
            </w:r>
          </w:p>
          <w:p w14:paraId="40F3B515">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7</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定量：1</w:t>
            </w:r>
            <w:r>
              <w:rPr>
                <w:rFonts w:asciiTheme="minorEastAsia" w:hAnsiTheme="minorEastAsia" w:cstheme="minorEastAsia"/>
                <w:sz w:val="18"/>
                <w:szCs w:val="18"/>
                <w:highlight w:val="none"/>
              </w:rPr>
              <w:t>6.0</w:t>
            </w: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.0</w:t>
            </w:r>
            <w:r>
              <w:rPr>
                <w:rFonts w:hint="eastAsia" w:asciiTheme="minorEastAsia" w:hAnsiTheme="minorEastAsia" w:cstheme="minorEastAsia"/>
                <w:sz w:val="18"/>
                <w:szCs w:val="18"/>
                <w:highlight w:val="none"/>
              </w:rPr>
              <w:t>g/㎡；</w:t>
            </w:r>
          </w:p>
          <w:p w14:paraId="508EB6A4">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8</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吸水时间</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 xml:space="preserve"> ≤1</w:t>
            </w:r>
            <w:r>
              <w:rPr>
                <w:rFonts w:asciiTheme="minorEastAsia" w:hAnsiTheme="minorEastAsia" w:cstheme="minorEastAsia"/>
                <w:sz w:val="18"/>
                <w:szCs w:val="18"/>
                <w:highlight w:val="none"/>
              </w:rPr>
              <w:t>5.0</w:t>
            </w:r>
            <w:r>
              <w:rPr>
                <w:rFonts w:hint="eastAsia" w:asciiTheme="minorEastAsia" w:hAnsiTheme="minorEastAsia" w:cstheme="minorEastAsia"/>
                <w:sz w:val="18"/>
                <w:szCs w:val="18"/>
                <w:highlight w:val="none"/>
              </w:rPr>
              <w:t>/</w:t>
            </w:r>
            <w:r>
              <w:rPr>
                <w:rFonts w:asciiTheme="minorEastAsia" w:hAnsiTheme="minorEastAsia" w:cstheme="minorEastAsia"/>
                <w:sz w:val="18"/>
                <w:szCs w:val="18"/>
                <w:highlight w:val="none"/>
              </w:rPr>
              <w:t>s</w:t>
            </w:r>
            <w:r>
              <w:rPr>
                <w:rFonts w:hint="eastAsia" w:asciiTheme="minorEastAsia" w:hAnsiTheme="minorEastAsia" w:cstheme="minorEastAsia"/>
                <w:sz w:val="18"/>
                <w:szCs w:val="18"/>
                <w:highlight w:val="none"/>
              </w:rPr>
              <w:t>；</w:t>
            </w:r>
          </w:p>
          <w:p w14:paraId="581DBA7B">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9</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吸水能力：≥5</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g/</w:t>
            </w:r>
            <w:r>
              <w:rPr>
                <w:rFonts w:asciiTheme="minorEastAsia" w:hAnsiTheme="minorEastAsia" w:cstheme="minorEastAsia"/>
                <w:sz w:val="18"/>
                <w:szCs w:val="18"/>
                <w:highlight w:val="none"/>
              </w:rPr>
              <w:t>g</w:t>
            </w:r>
            <w:r>
              <w:rPr>
                <w:rFonts w:hint="eastAsia" w:asciiTheme="minorEastAsia" w:hAnsiTheme="minorEastAsia" w:cstheme="minorEastAsia"/>
                <w:sz w:val="18"/>
                <w:szCs w:val="18"/>
                <w:highlight w:val="none"/>
              </w:rPr>
              <w:t>；</w:t>
            </w:r>
          </w:p>
          <w:p w14:paraId="01CF941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0.横向</w:t>
            </w:r>
            <w:r>
              <w:rPr>
                <w:rFonts w:hint="eastAsia" w:asciiTheme="minorEastAsia" w:hAnsiTheme="minorEastAsia" w:cstheme="minorEastAsia"/>
                <w:sz w:val="18"/>
                <w:szCs w:val="18"/>
                <w:highlight w:val="none"/>
              </w:rPr>
              <w:t>抗张强度(成品层)：</w:t>
            </w:r>
            <w:r>
              <w:rPr>
                <w:rFonts w:asciiTheme="minorEastAsia" w:hAnsiTheme="minorEastAsia" w:cstheme="minorEastAsia"/>
                <w:sz w:val="18"/>
                <w:szCs w:val="18"/>
                <w:highlight w:val="none"/>
              </w:rPr>
              <w:t>≥200N/m</w:t>
            </w:r>
            <w:r>
              <w:rPr>
                <w:rFonts w:hint="eastAsia" w:asciiTheme="minorEastAsia" w:hAnsiTheme="minorEastAsia" w:cstheme="minorEastAsia"/>
                <w:sz w:val="18"/>
                <w:szCs w:val="18"/>
                <w:highlight w:val="none"/>
              </w:rPr>
              <w:t>；</w:t>
            </w:r>
          </w:p>
          <w:p w14:paraId="4CD00B49">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1.</w:t>
            </w:r>
            <w:r>
              <w:rPr>
                <w:rFonts w:hint="eastAsia" w:asciiTheme="minorEastAsia" w:hAnsiTheme="minorEastAsia" w:cstheme="minorEastAsia"/>
                <w:sz w:val="18"/>
                <w:szCs w:val="18"/>
                <w:highlight w:val="none"/>
              </w:rPr>
              <w:t>纵向湿抗张强度（成品层）：9</w:t>
            </w:r>
            <w:r>
              <w:rPr>
                <w:rFonts w:asciiTheme="minorEastAsia" w:hAnsiTheme="minorEastAsia" w:cstheme="minorEastAsia"/>
                <w:sz w:val="18"/>
                <w:szCs w:val="18"/>
                <w:highlight w:val="none"/>
              </w:rPr>
              <w:t>0.0N/m</w:t>
            </w:r>
            <w:r>
              <w:rPr>
                <w:rFonts w:hint="eastAsia" w:asciiTheme="minorEastAsia" w:hAnsiTheme="minorEastAsia" w:cstheme="minorEastAsia"/>
                <w:sz w:val="18"/>
                <w:szCs w:val="18"/>
                <w:highlight w:val="none"/>
              </w:rPr>
              <w:t>；</w:t>
            </w:r>
          </w:p>
          <w:p w14:paraId="668029A5">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2.</w:t>
            </w:r>
            <w:r>
              <w:rPr>
                <w:rFonts w:hint="eastAsia" w:asciiTheme="minorEastAsia" w:hAnsiTheme="minorEastAsia" w:cstheme="minorEastAsia"/>
                <w:sz w:val="18"/>
                <w:szCs w:val="18"/>
                <w:highlight w:val="none"/>
              </w:rPr>
              <w:t>尘埃度：总数≤5</w:t>
            </w:r>
            <w:r>
              <w:rPr>
                <w:rFonts w:asciiTheme="minorEastAsia" w:hAnsiTheme="minorEastAsia" w:cstheme="minorEastAsia"/>
                <w:sz w:val="18"/>
                <w:szCs w:val="18"/>
                <w:highlight w:val="none"/>
              </w:rPr>
              <w:t>0</w:t>
            </w:r>
            <w:r>
              <w:rPr>
                <w:rFonts w:hint="eastAsia" w:asciiTheme="minorEastAsia" w:hAnsiTheme="minorEastAsia" w:cstheme="minorEastAsia"/>
                <w:sz w:val="18"/>
                <w:szCs w:val="18"/>
                <w:highlight w:val="none"/>
              </w:rPr>
              <w:t>个/㎡；</w:t>
            </w:r>
          </w:p>
          <w:p w14:paraId="17F66794">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3.</w:t>
            </w:r>
            <w:r>
              <w:rPr>
                <w:rFonts w:hint="eastAsia" w:asciiTheme="minorEastAsia" w:hAnsiTheme="minorEastAsia" w:cstheme="minorEastAsia"/>
                <w:sz w:val="18"/>
                <w:szCs w:val="18"/>
                <w:highlight w:val="none"/>
              </w:rPr>
              <w:t>不得检测出大肠菌群、铜绿假单胞菌、金黄色葡萄球菌、溶血性链球菌。</w:t>
            </w:r>
          </w:p>
        </w:tc>
      </w:tr>
      <w:tr w14:paraId="01C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19" w:type="pct"/>
            <w:vMerge w:val="continue"/>
            <w:vAlign w:val="center"/>
          </w:tcPr>
          <w:p w14:paraId="40BC7510">
            <w:pPr>
              <w:adjustRightInd w:val="0"/>
              <w:snapToGrid w:val="0"/>
              <w:jc w:val="center"/>
              <w:rPr>
                <w:rFonts w:asciiTheme="minorEastAsia" w:hAnsiTheme="minorEastAsia" w:cstheme="minorEastAsia"/>
                <w:kern w:val="0"/>
                <w:sz w:val="18"/>
                <w:szCs w:val="18"/>
                <w:highlight w:val="none"/>
              </w:rPr>
            </w:pPr>
          </w:p>
        </w:tc>
        <w:tc>
          <w:tcPr>
            <w:tcW w:w="486" w:type="pct"/>
            <w:shd w:val="clear" w:color="auto" w:fill="auto"/>
            <w:vAlign w:val="center"/>
          </w:tcPr>
          <w:p w14:paraId="2AD81F26">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洗手液</w:t>
            </w:r>
          </w:p>
        </w:tc>
        <w:tc>
          <w:tcPr>
            <w:tcW w:w="3393" w:type="pct"/>
            <w:shd w:val="clear" w:color="auto" w:fill="auto"/>
            <w:vAlign w:val="center"/>
          </w:tcPr>
          <w:p w14:paraId="47E50DFC">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1</w:t>
            </w:r>
            <w:r>
              <w:rPr>
                <w:rFonts w:hint="eastAsia" w:asciiTheme="minorEastAsia" w:hAnsiTheme="minorEastAsia" w:cstheme="minorEastAsia"/>
                <w:sz w:val="18"/>
                <w:szCs w:val="18"/>
                <w:highlight w:val="none"/>
              </w:rPr>
              <w:t>.每桶净重≥25kg；</w:t>
            </w:r>
          </w:p>
          <w:p w14:paraId="27A15FF8">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2.</w:t>
            </w:r>
            <w:r>
              <w:rPr>
                <w:rFonts w:hint="eastAsia" w:asciiTheme="minorEastAsia" w:hAnsiTheme="minorEastAsia" w:cstheme="minorEastAsia"/>
                <w:sz w:val="18"/>
                <w:szCs w:val="18"/>
                <w:highlight w:val="none"/>
              </w:rPr>
              <w:t>总有效物:</w:t>
            </w:r>
            <w:r>
              <w:rPr>
                <w:rFonts w:asciiTheme="minorEastAsia" w:hAnsiTheme="minorEastAsia" w:cstheme="minorEastAsia"/>
                <w:sz w:val="18"/>
                <w:szCs w:val="18"/>
                <w:highlight w:val="none"/>
              </w:rPr>
              <w:t>≥7%</w:t>
            </w:r>
            <w:r>
              <w:rPr>
                <w:rFonts w:hint="eastAsia"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3</w:t>
            </w:r>
            <w:r>
              <w:rPr>
                <w:rFonts w:hint="eastAsia" w:asciiTheme="minorEastAsia" w:hAnsiTheme="minorEastAsia" w:cstheme="minorEastAsia"/>
                <w:sz w:val="18"/>
                <w:szCs w:val="18"/>
                <w:highlight w:val="none"/>
              </w:rPr>
              <w:t>.pH(25℃，1：10（质量浓度）水溶液)：</w:t>
            </w:r>
            <w:r>
              <w:rPr>
                <w:rFonts w:asciiTheme="minorEastAsia" w:hAnsiTheme="minorEastAsia" w:cstheme="minorEastAsia"/>
                <w:sz w:val="18"/>
                <w:szCs w:val="18"/>
                <w:highlight w:val="none"/>
              </w:rPr>
              <w:t>4.0</w:t>
            </w:r>
            <w:r>
              <w:rPr>
                <w:rFonts w:hint="eastAsia" w:asciiTheme="minorEastAsia" w:hAnsiTheme="minorEastAsia" w:cstheme="minorEastAsia"/>
                <w:sz w:val="18"/>
                <w:szCs w:val="18"/>
                <w:highlight w:val="none"/>
              </w:rPr>
              <w:t>～10.0 ；</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4</w:t>
            </w:r>
            <w:r>
              <w:rPr>
                <w:rFonts w:hint="eastAsia" w:asciiTheme="minorEastAsia" w:hAnsiTheme="minorEastAsia" w:cstheme="minorEastAsia"/>
                <w:sz w:val="18"/>
                <w:szCs w:val="18"/>
                <w:highlight w:val="none"/>
              </w:rPr>
              <w:t>.菌落总数/(CFU/g或CFU/ml）≤</w:t>
            </w:r>
            <w:r>
              <w:rPr>
                <w:rFonts w:asciiTheme="minorEastAsia" w:hAnsiTheme="minorEastAsia" w:cstheme="minorEastAsia"/>
                <w:sz w:val="18"/>
                <w:szCs w:val="18"/>
                <w:highlight w:val="none"/>
              </w:rPr>
              <w:t>10</w:t>
            </w:r>
            <w:r>
              <w:rPr>
                <w:rFonts w:hint="eastAsia" w:asciiTheme="minorEastAsia" w:hAnsiTheme="minorEastAsia" w:cstheme="minorEastAsia"/>
                <w:sz w:val="18"/>
                <w:szCs w:val="18"/>
                <w:highlight w:val="none"/>
              </w:rPr>
              <w:t>00；</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.砷≤</w:t>
            </w:r>
            <w:r>
              <w:rPr>
                <w:rFonts w:asciiTheme="minorEastAsia" w:hAnsiTheme="minorEastAsia" w:cstheme="minorEastAsia"/>
                <w:sz w:val="18"/>
                <w:szCs w:val="18"/>
                <w:highlight w:val="none"/>
              </w:rPr>
              <w:t>2</w:t>
            </w:r>
            <w:r>
              <w:rPr>
                <w:rFonts w:hint="eastAsia" w:asciiTheme="minorEastAsia" w:hAnsiTheme="minorEastAsia" w:cstheme="minorEastAsia"/>
                <w:sz w:val="18"/>
                <w:szCs w:val="18"/>
                <w:highlight w:val="none"/>
              </w:rPr>
              <w:t xml:space="preserve"> mg/kg；</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6</w:t>
            </w:r>
            <w:r>
              <w:rPr>
                <w:rFonts w:hint="eastAsia" w:asciiTheme="minorEastAsia" w:hAnsiTheme="minorEastAsia" w:cstheme="minorEastAsia"/>
                <w:sz w:val="18"/>
                <w:szCs w:val="18"/>
                <w:highlight w:val="none"/>
              </w:rPr>
              <w:t>.汞≤1 mg/kg；</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7</w:t>
            </w:r>
            <w:r>
              <w:rPr>
                <w:rFonts w:hint="eastAsia" w:asciiTheme="minorEastAsia" w:hAnsiTheme="minorEastAsia" w:cstheme="minorEastAsia"/>
                <w:sz w:val="18"/>
                <w:szCs w:val="18"/>
                <w:highlight w:val="none"/>
              </w:rPr>
              <w:t>.铅≤</w:t>
            </w:r>
            <w:r>
              <w:rPr>
                <w:rFonts w:asciiTheme="minorEastAsia" w:hAnsiTheme="minorEastAsia" w:cstheme="minorEastAsia"/>
                <w:sz w:val="18"/>
                <w:szCs w:val="18"/>
                <w:highlight w:val="none"/>
              </w:rPr>
              <w:t>10</w:t>
            </w:r>
            <w:r>
              <w:rPr>
                <w:rFonts w:hint="eastAsia" w:asciiTheme="minorEastAsia" w:hAnsiTheme="minorEastAsia" w:cstheme="minorEastAsia"/>
                <w:sz w:val="18"/>
                <w:szCs w:val="18"/>
                <w:highlight w:val="none"/>
              </w:rPr>
              <w:t xml:space="preserve"> mg/kg；</w:t>
            </w:r>
          </w:p>
          <w:p w14:paraId="3EEA8272">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8</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镉≤</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mg/kg；</w:t>
            </w:r>
          </w:p>
          <w:p w14:paraId="313CCFEB">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9</w:t>
            </w:r>
            <w:r>
              <w:rPr>
                <w:rFonts w:asciiTheme="minorEastAsia" w:hAnsiTheme="minorEastAsia" w:cstheme="minorEastAsia"/>
                <w:sz w:val="18"/>
                <w:szCs w:val="18"/>
                <w:highlight w:val="none"/>
              </w:rPr>
              <w:t>.</w:t>
            </w:r>
            <w:r>
              <w:rPr>
                <w:rFonts w:hint="eastAsia" w:asciiTheme="minorEastAsia" w:hAnsiTheme="minorEastAsia" w:cstheme="minorEastAsia"/>
                <w:sz w:val="18"/>
                <w:szCs w:val="18"/>
                <w:highlight w:val="none"/>
              </w:rPr>
              <w:t>二</w:t>
            </w:r>
            <w:r>
              <w:rPr>
                <w:rFonts w:asciiTheme="minorEastAsia" w:hAnsiTheme="minorEastAsia" w:cstheme="minorEastAsia"/>
                <w:sz w:val="18"/>
                <w:szCs w:val="18"/>
                <w:highlight w:val="none"/>
              </w:rPr>
              <w:t>噁</w:t>
            </w:r>
            <w:r>
              <w:rPr>
                <w:rFonts w:hint="eastAsia" w:asciiTheme="minorEastAsia" w:hAnsiTheme="minorEastAsia" w:cstheme="minorEastAsia"/>
                <w:sz w:val="18"/>
                <w:szCs w:val="18"/>
                <w:highlight w:val="none"/>
              </w:rPr>
              <w:t>烷≤</w:t>
            </w:r>
            <w:r>
              <w:rPr>
                <w:rFonts w:asciiTheme="minorEastAsia" w:hAnsiTheme="minorEastAsia" w:cstheme="minorEastAsia"/>
                <w:sz w:val="18"/>
                <w:szCs w:val="18"/>
                <w:highlight w:val="none"/>
              </w:rPr>
              <w:t>30</w:t>
            </w:r>
            <w:r>
              <w:rPr>
                <w:rFonts w:hint="eastAsia" w:asciiTheme="minorEastAsia" w:hAnsiTheme="minorEastAsia" w:cstheme="minorEastAsia"/>
                <w:sz w:val="18"/>
                <w:szCs w:val="18"/>
                <w:highlight w:val="none"/>
              </w:rPr>
              <w:t>mg/kg；</w:t>
            </w:r>
          </w:p>
          <w:p w14:paraId="374CD801">
            <w:pPr>
              <w:wordWrap w:val="0"/>
              <w:spacing w:line="240" w:lineRule="atLeast"/>
              <w:textAlignment w:val="baseline"/>
              <w:rPr>
                <w:rFonts w:asciiTheme="minorEastAsia" w:hAnsiTheme="minorEastAsia" w:cstheme="minorEastAsia"/>
                <w:sz w:val="18"/>
                <w:szCs w:val="18"/>
                <w:highlight w:val="none"/>
              </w:rPr>
            </w:pPr>
            <w:r>
              <w:rPr>
                <w:rFonts w:asciiTheme="minorEastAsia" w:hAnsiTheme="minorEastAsia" w:cstheme="minorEastAsia"/>
                <w:sz w:val="18"/>
                <w:szCs w:val="18"/>
                <w:highlight w:val="none"/>
              </w:rPr>
              <w:t>10.</w:t>
            </w:r>
            <w:r>
              <w:rPr>
                <w:rFonts w:hint="eastAsia" w:asciiTheme="minorEastAsia" w:hAnsiTheme="minorEastAsia" w:cstheme="minorEastAsia"/>
                <w:sz w:val="18"/>
                <w:szCs w:val="18"/>
                <w:highlight w:val="none"/>
              </w:rPr>
              <w:t>甲醇≤2</w:t>
            </w:r>
            <w:r>
              <w:rPr>
                <w:rFonts w:asciiTheme="minorEastAsia" w:hAnsiTheme="minorEastAsia" w:cstheme="minorEastAsia"/>
                <w:sz w:val="18"/>
                <w:szCs w:val="18"/>
                <w:highlight w:val="none"/>
              </w:rPr>
              <w:t>000</w:t>
            </w:r>
            <w:r>
              <w:rPr>
                <w:rFonts w:hint="eastAsia" w:asciiTheme="minorEastAsia" w:hAnsiTheme="minorEastAsia" w:cstheme="minorEastAsia"/>
                <w:sz w:val="18"/>
                <w:szCs w:val="18"/>
                <w:highlight w:val="none"/>
              </w:rPr>
              <w:t>mg/kg；</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11</w:t>
            </w:r>
            <w:r>
              <w:rPr>
                <w:rFonts w:hint="eastAsia" w:asciiTheme="minorEastAsia" w:hAnsiTheme="minorEastAsia" w:cstheme="minorEastAsia"/>
                <w:sz w:val="18"/>
                <w:szCs w:val="18"/>
                <w:highlight w:val="none"/>
              </w:rPr>
              <w:t>.霉菌和酵母菌总数/(CFU/g或CFU/ml）≤100；</w:t>
            </w:r>
            <w:r>
              <w:rPr>
                <w:rFonts w:hint="eastAsia" w:asciiTheme="minorEastAsia" w:hAnsiTheme="minorEastAsia" w:cstheme="minorEastAsia"/>
                <w:sz w:val="18"/>
                <w:szCs w:val="18"/>
                <w:highlight w:val="none"/>
              </w:rPr>
              <w:br w:type="textWrapping"/>
            </w:r>
            <w:r>
              <w:rPr>
                <w:rFonts w:asciiTheme="minorEastAsia" w:hAnsiTheme="minorEastAsia" w:cstheme="minorEastAsia"/>
                <w:sz w:val="18"/>
                <w:szCs w:val="18"/>
                <w:highlight w:val="none"/>
              </w:rPr>
              <w:t>12</w:t>
            </w:r>
            <w:r>
              <w:rPr>
                <w:rFonts w:hint="eastAsia" w:asciiTheme="minorEastAsia" w:hAnsiTheme="minorEastAsia" w:cstheme="minorEastAsia"/>
                <w:sz w:val="18"/>
                <w:szCs w:val="18"/>
                <w:highlight w:val="none"/>
              </w:rPr>
              <w:t>.不得检测出耐热大肠菌群、金黄色葡萄球菌、铜绿假单胞菌；</w:t>
            </w:r>
          </w:p>
          <w:p w14:paraId="3239A2E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3</w:t>
            </w:r>
            <w:r>
              <w:rPr>
                <w:rFonts w:hint="eastAsia" w:asciiTheme="minorEastAsia" w:hAnsiTheme="minorEastAsia" w:cstheme="minorEastAsia"/>
                <w:sz w:val="18"/>
                <w:szCs w:val="18"/>
                <w:highlight w:val="none"/>
              </w:rPr>
              <w:t>.外观：不分层，无明显悬浮物(加入均匀悬浮颗粒组分的产品除外)或沉淀，无明显机械杂质的均匀产品；</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4</w:t>
            </w:r>
            <w:r>
              <w:rPr>
                <w:rFonts w:hint="eastAsia" w:asciiTheme="minorEastAsia" w:hAnsiTheme="minorEastAsia" w:cstheme="minorEastAsia"/>
                <w:sz w:val="18"/>
                <w:szCs w:val="18"/>
                <w:highlight w:val="none"/>
              </w:rPr>
              <w:t>.气味：无异味；</w:t>
            </w:r>
          </w:p>
          <w:p w14:paraId="2652C413">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甲醛：≤5</w:t>
            </w:r>
            <w:r>
              <w:rPr>
                <w:rFonts w:asciiTheme="minorEastAsia" w:hAnsiTheme="minorEastAsia" w:cstheme="minorEastAsia"/>
                <w:sz w:val="18"/>
                <w:szCs w:val="18"/>
                <w:highlight w:val="none"/>
              </w:rPr>
              <w:t>00</w:t>
            </w:r>
            <w:r>
              <w:rPr>
                <w:rFonts w:hint="eastAsia" w:asciiTheme="minorEastAsia" w:hAnsiTheme="minorEastAsia" w:cstheme="minorEastAsia"/>
                <w:sz w:val="18"/>
                <w:szCs w:val="18"/>
                <w:highlight w:val="none"/>
              </w:rPr>
              <w:t>mg/</w:t>
            </w:r>
            <w:r>
              <w:rPr>
                <w:rFonts w:asciiTheme="minorEastAsia" w:hAnsiTheme="minorEastAsia" w:cstheme="minorEastAsia"/>
                <w:sz w:val="18"/>
                <w:szCs w:val="18"/>
                <w:highlight w:val="none"/>
              </w:rPr>
              <w:t>kg</w:t>
            </w:r>
            <w:r>
              <w:rPr>
                <w:rFonts w:hint="eastAsia" w:asciiTheme="minorEastAsia" w:hAnsiTheme="minorEastAsia" w:cstheme="minorEastAsia"/>
                <w:sz w:val="18"/>
                <w:szCs w:val="18"/>
                <w:highlight w:val="none"/>
              </w:rPr>
              <w:t>；</w:t>
            </w:r>
          </w:p>
          <w:p w14:paraId="3B6560F5">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w:t>
            </w:r>
            <w:r>
              <w:rPr>
                <w:rFonts w:asciiTheme="minorEastAsia" w:hAnsiTheme="minorEastAsia" w:cstheme="minorEastAsia"/>
                <w:sz w:val="18"/>
                <w:szCs w:val="18"/>
                <w:highlight w:val="none"/>
              </w:rPr>
              <w:t>6</w:t>
            </w:r>
            <w:r>
              <w:rPr>
                <w:rFonts w:hint="eastAsia" w:asciiTheme="minorEastAsia" w:hAnsiTheme="minorEastAsia" w:cstheme="minorEastAsia"/>
                <w:sz w:val="18"/>
                <w:szCs w:val="18"/>
                <w:highlight w:val="none"/>
              </w:rPr>
              <w:t>.稳定性：耐热：（4</w:t>
            </w:r>
            <w:r>
              <w:rPr>
                <w:rFonts w:asciiTheme="minorEastAsia" w:hAnsiTheme="minorEastAsia" w:cstheme="minorEastAsia"/>
                <w:sz w:val="18"/>
                <w:szCs w:val="18"/>
                <w:highlight w:val="none"/>
              </w:rPr>
              <w:t>0</w:t>
            </w:r>
            <w:r>
              <w:rPr>
                <w:rFonts w:hint="eastAsia" w:asciiTheme="minorEastAsia" w:hAnsiTheme="minorEastAsia" w:cstheme="minorEastAsia"/>
                <w:sz w:val="18"/>
                <w:szCs w:val="18"/>
                <w:highlight w:val="none"/>
              </w:rPr>
              <w:t>±2）℃，2</w:t>
            </w:r>
            <w:r>
              <w:rPr>
                <w:rFonts w:asciiTheme="minorEastAsia" w:hAnsiTheme="minorEastAsia" w:cstheme="minorEastAsia"/>
                <w:sz w:val="18"/>
                <w:szCs w:val="18"/>
                <w:highlight w:val="none"/>
              </w:rPr>
              <w:t>4</w:t>
            </w:r>
            <w:r>
              <w:rPr>
                <w:rFonts w:hint="eastAsia" w:asciiTheme="minorEastAsia" w:hAnsiTheme="minorEastAsia" w:cstheme="minorEastAsia"/>
                <w:sz w:val="18"/>
                <w:szCs w:val="18"/>
                <w:highlight w:val="none"/>
              </w:rPr>
              <w:t>h：恢复至室温后观察，不分层，无异味和变色现象，透明产品不浑浊；耐寒：（－5±2）℃，2</w:t>
            </w:r>
            <w:r>
              <w:rPr>
                <w:rFonts w:asciiTheme="minorEastAsia" w:hAnsiTheme="minorEastAsia" w:cstheme="minorEastAsia"/>
                <w:sz w:val="18"/>
                <w:szCs w:val="18"/>
                <w:highlight w:val="none"/>
              </w:rPr>
              <w:t>4</w:t>
            </w:r>
            <w:r>
              <w:rPr>
                <w:rFonts w:hint="eastAsia" w:asciiTheme="minorEastAsia" w:hAnsiTheme="minorEastAsia" w:cstheme="minorEastAsia"/>
                <w:sz w:val="18"/>
                <w:szCs w:val="18"/>
                <w:highlight w:val="none"/>
              </w:rPr>
              <w:t>h：恢复至室温后观察，不分层，无沉淀，无变色现象，透明产品不浑浊。</w:t>
            </w:r>
          </w:p>
        </w:tc>
      </w:tr>
      <w:tr w14:paraId="11DF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9" w:type="pct"/>
            <w:vMerge w:val="restart"/>
            <w:vAlign w:val="center"/>
          </w:tcPr>
          <w:p w14:paraId="10E7712B">
            <w:pPr>
              <w:adjustRightInd w:val="0"/>
              <w:snapToGrid w:val="0"/>
              <w:jc w:val="center"/>
              <w:rPr>
                <w:rFonts w:asciiTheme="minorEastAsia" w:hAnsiTheme="minorEastAsia" w:cstheme="minorEastAsia"/>
                <w:kern w:val="0"/>
                <w:sz w:val="18"/>
                <w:szCs w:val="18"/>
                <w:highlight w:val="none"/>
              </w:rPr>
            </w:pPr>
            <w:r>
              <w:rPr>
                <w:rFonts w:hint="eastAsia" w:asciiTheme="minorEastAsia" w:hAnsiTheme="minorEastAsia" w:cstheme="minorEastAsia"/>
                <w:sz w:val="18"/>
                <w:szCs w:val="18"/>
                <w:highlight w:val="none"/>
              </w:rPr>
              <w:t>第一办公楼、第二办公楼、第三办公楼的公共会议室和指定办公室</w:t>
            </w:r>
          </w:p>
        </w:tc>
        <w:tc>
          <w:tcPr>
            <w:tcW w:w="486" w:type="pct"/>
            <w:shd w:val="clear" w:color="auto" w:fill="auto"/>
            <w:vAlign w:val="center"/>
          </w:tcPr>
          <w:p w14:paraId="21D001D8">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抽纸</w:t>
            </w:r>
          </w:p>
        </w:tc>
        <w:tc>
          <w:tcPr>
            <w:tcW w:w="3393" w:type="pct"/>
            <w:shd w:val="clear" w:color="auto" w:fill="auto"/>
            <w:vAlign w:val="center"/>
          </w:tcPr>
          <w:p w14:paraId="7CD84DF1">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1.每张纸层数：3层；</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2.产品规格：210mm*210mm；</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3.每包纸抽数：200抽；</w:t>
            </w:r>
          </w:p>
          <w:p w14:paraId="2E8CF7B8">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4.无香型；</w:t>
            </w:r>
          </w:p>
          <w:p w14:paraId="0DFDAC8F">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5.湿水不易破；</w:t>
            </w:r>
          </w:p>
          <w:p w14:paraId="11B7D5E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6.产品原料使用100%原生木浆生产；</w:t>
            </w:r>
          </w:p>
          <w:p w14:paraId="799F56D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7.品牌要求：心相印、洁柔、维达、得宝。</w:t>
            </w:r>
          </w:p>
        </w:tc>
      </w:tr>
      <w:tr w14:paraId="3C2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19" w:type="pct"/>
            <w:vMerge w:val="continue"/>
            <w:vAlign w:val="center"/>
          </w:tcPr>
          <w:p w14:paraId="702F844C">
            <w:pPr>
              <w:adjustRightInd w:val="0"/>
              <w:snapToGrid w:val="0"/>
              <w:jc w:val="center"/>
              <w:rPr>
                <w:rFonts w:asciiTheme="minorEastAsia" w:hAnsiTheme="minorEastAsia" w:cstheme="minorEastAsia"/>
                <w:kern w:val="0"/>
                <w:sz w:val="18"/>
                <w:szCs w:val="18"/>
                <w:highlight w:val="none"/>
              </w:rPr>
            </w:pPr>
          </w:p>
        </w:tc>
        <w:tc>
          <w:tcPr>
            <w:tcW w:w="486" w:type="pct"/>
            <w:shd w:val="clear" w:color="auto" w:fill="auto"/>
            <w:vAlign w:val="center"/>
          </w:tcPr>
          <w:p w14:paraId="592C4377">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手帕纸</w:t>
            </w:r>
          </w:p>
        </w:tc>
        <w:tc>
          <w:tcPr>
            <w:tcW w:w="3393" w:type="pct"/>
            <w:shd w:val="clear" w:color="auto" w:fill="auto"/>
            <w:vAlign w:val="center"/>
          </w:tcPr>
          <w:p w14:paraId="4EC2727A">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1.克重：15g/㎡；</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2.每张纸层数：3层；</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3.产品规格：200mm*200mm；</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4.每包纸抽数：12片；</w:t>
            </w:r>
          </w:p>
          <w:p w14:paraId="016C8CD3">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5.湿水不易破；</w:t>
            </w:r>
          </w:p>
          <w:p w14:paraId="7D7DDC59">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6.产品原料使用100%原生竹浆生产；</w:t>
            </w:r>
          </w:p>
          <w:p w14:paraId="16A57F1A">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7.品牌要求：金竹、心心相印、洁柔。</w:t>
            </w:r>
          </w:p>
        </w:tc>
      </w:tr>
      <w:tr w14:paraId="0000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7DF88A89">
            <w:pPr>
              <w:adjustRightInd w:val="0"/>
              <w:snapToGrid w:val="0"/>
              <w:jc w:val="center"/>
              <w:rPr>
                <w:rFonts w:asciiTheme="minorEastAsia" w:hAnsiTheme="minorEastAsia" w:cstheme="minorEastAsia"/>
                <w:kern w:val="0"/>
                <w:sz w:val="18"/>
                <w:szCs w:val="18"/>
                <w:highlight w:val="none"/>
              </w:rPr>
            </w:pPr>
          </w:p>
        </w:tc>
        <w:tc>
          <w:tcPr>
            <w:tcW w:w="486" w:type="pct"/>
            <w:shd w:val="clear" w:color="auto" w:fill="auto"/>
            <w:vAlign w:val="center"/>
          </w:tcPr>
          <w:p w14:paraId="292C9114">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湿巾纸</w:t>
            </w:r>
          </w:p>
        </w:tc>
        <w:tc>
          <w:tcPr>
            <w:tcW w:w="3393" w:type="pct"/>
            <w:shd w:val="clear" w:color="auto" w:fill="auto"/>
            <w:vAlign w:val="center"/>
          </w:tcPr>
          <w:p w14:paraId="5134C85C">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1.每提6袋；</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2.每袋6包；</w:t>
            </w:r>
          </w:p>
          <w:p w14:paraId="7CF6097A">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3.每包抽数：10张独立装；</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4.纸张尺寸：180mm*180mm；</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5.主要成分：RO纯净水、水刺无纺布、复合提取液（芦荟提取液，甘油，维生素）；</w:t>
            </w:r>
          </w:p>
          <w:p w14:paraId="140B16C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7.品牌要求：金竹、心心相印、洁柔。</w:t>
            </w:r>
          </w:p>
        </w:tc>
      </w:tr>
      <w:tr w14:paraId="4C8E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19" w:type="pct"/>
            <w:vMerge w:val="continue"/>
            <w:vAlign w:val="center"/>
          </w:tcPr>
          <w:p w14:paraId="26F96A11">
            <w:pPr>
              <w:adjustRightInd w:val="0"/>
              <w:snapToGrid w:val="0"/>
              <w:jc w:val="center"/>
              <w:rPr>
                <w:rFonts w:asciiTheme="minorEastAsia" w:hAnsiTheme="minorEastAsia" w:cstheme="minorEastAsia"/>
                <w:kern w:val="0"/>
                <w:sz w:val="18"/>
                <w:szCs w:val="18"/>
                <w:highlight w:val="none"/>
              </w:rPr>
            </w:pPr>
          </w:p>
        </w:tc>
        <w:tc>
          <w:tcPr>
            <w:tcW w:w="486" w:type="pct"/>
            <w:shd w:val="clear" w:color="auto" w:fill="auto"/>
            <w:vAlign w:val="center"/>
          </w:tcPr>
          <w:p w14:paraId="05F9F60D">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一次性纸盘</w:t>
            </w:r>
          </w:p>
        </w:tc>
        <w:tc>
          <w:tcPr>
            <w:tcW w:w="3393" w:type="pct"/>
            <w:shd w:val="clear" w:color="auto" w:fill="auto"/>
            <w:vAlign w:val="center"/>
          </w:tcPr>
          <w:p w14:paraId="3A69A895">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1.尺寸：6英寸 15.5cm*0.9cm；</w:t>
            </w:r>
            <w:r>
              <w:rPr>
                <w:rFonts w:hint="eastAsia" w:asciiTheme="minorEastAsia" w:hAnsiTheme="minorEastAsia" w:cstheme="minorEastAsia"/>
                <w:sz w:val="18"/>
                <w:szCs w:val="18"/>
                <w:highlight w:val="none"/>
              </w:rPr>
              <w:br w:type="textWrapping"/>
            </w:r>
            <w:r>
              <w:rPr>
                <w:rFonts w:hint="eastAsia" w:asciiTheme="minorEastAsia" w:hAnsiTheme="minorEastAsia" w:cstheme="minorEastAsia"/>
                <w:sz w:val="18"/>
                <w:szCs w:val="18"/>
                <w:highlight w:val="none"/>
              </w:rPr>
              <w:t>2.产品原料使用甘蔗纸浆生产；</w:t>
            </w:r>
          </w:p>
          <w:p w14:paraId="4946A49E">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3.每包容量：30只；</w:t>
            </w:r>
          </w:p>
          <w:p w14:paraId="405811A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4.环保可降解；</w:t>
            </w:r>
          </w:p>
          <w:p w14:paraId="7892D011">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5.防油不渗水。</w:t>
            </w:r>
          </w:p>
        </w:tc>
      </w:tr>
    </w:tbl>
    <w:p w14:paraId="57A610DB">
      <w:pPr>
        <w:pStyle w:val="8"/>
        <w:rPr>
          <w:highlight w:val="none"/>
        </w:rPr>
      </w:pPr>
    </w:p>
    <w:p w14:paraId="67A2CDE6">
      <w:pPr>
        <w:pStyle w:val="8"/>
        <w:rPr>
          <w:rFonts w:ascii="宋体" w:hAnsi="宋体"/>
          <w:b/>
          <w:bCs/>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3.</w:t>
      </w:r>
      <w:r>
        <w:rPr>
          <w:rFonts w:ascii="宋体" w:hAnsi="宋体"/>
          <w:b/>
          <w:bCs/>
          <w:color w:val="000000" w:themeColor="text1"/>
          <w:sz w:val="24"/>
          <w:szCs w:val="24"/>
          <w:highlight w:val="none"/>
          <w14:textFill>
            <w14:solidFill>
              <w14:schemeClr w14:val="tx1"/>
            </w14:solidFill>
          </w14:textFill>
        </w:rPr>
        <w:t>10</w:t>
      </w:r>
      <w:r>
        <w:rPr>
          <w:rFonts w:hint="eastAsia" w:ascii="宋体" w:hAnsi="宋体"/>
          <w:b/>
          <w:bCs/>
          <w:color w:val="000000" w:themeColor="text1"/>
          <w:sz w:val="24"/>
          <w:szCs w:val="24"/>
          <w:highlight w:val="none"/>
          <w14:textFill>
            <w14:solidFill>
              <w14:schemeClr w14:val="tx1"/>
            </w14:solidFill>
          </w14:textFill>
        </w:rPr>
        <w:t>.2其他商务要求</w:t>
      </w:r>
    </w:p>
    <w:p w14:paraId="69BB509F">
      <w:pPr>
        <w:pStyle w:val="8"/>
        <w:spacing w:line="360" w:lineRule="auto"/>
        <w:ind w:firstLine="48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供应商应提供有效期内</w:t>
      </w:r>
      <w:bookmarkStart w:id="26" w:name="_Hlk101537718"/>
      <w:r>
        <w:rPr>
          <w:rFonts w:ascii="宋体" w:hAnsi="宋体"/>
          <w:sz w:val="24"/>
          <w:szCs w:val="24"/>
          <w:highlight w:val="none"/>
        </w:rPr>
        <w:t>质量管理体系认证证书、环境管理体系认证证书、职业健康安全管理体系认证证书</w:t>
      </w:r>
      <w:bookmarkEnd w:id="26"/>
      <w:r>
        <w:rPr>
          <w:rFonts w:ascii="宋体" w:hAnsi="宋体"/>
          <w:sz w:val="24"/>
          <w:szCs w:val="24"/>
          <w:highlight w:val="none"/>
        </w:rPr>
        <w:t>、企业诚信管理体系认证证书。（提供证书复印件以及全国认证认可信息公共服务平台网站截图，认证证书认证所覆盖的范围</w:t>
      </w:r>
      <w:r>
        <w:rPr>
          <w:rFonts w:hint="eastAsia" w:ascii="宋体" w:hAnsi="宋体"/>
          <w:sz w:val="24"/>
          <w:szCs w:val="24"/>
          <w:highlight w:val="none"/>
        </w:rPr>
        <w:t>有</w:t>
      </w:r>
      <w:r>
        <w:rPr>
          <w:rFonts w:ascii="宋体" w:hAnsi="宋体"/>
          <w:sz w:val="24"/>
          <w:szCs w:val="24"/>
          <w:highlight w:val="none"/>
        </w:rPr>
        <w:t>物业服务）</w:t>
      </w:r>
    </w:p>
    <w:p w14:paraId="70C0F41C">
      <w:pPr>
        <w:pStyle w:val="8"/>
        <w:spacing w:line="360" w:lineRule="auto"/>
        <w:ind w:firstLine="480"/>
        <w:rPr>
          <w:rFonts w:ascii="宋体" w:hAnsi="宋体"/>
          <w:color w:val="FF0000"/>
          <w:sz w:val="24"/>
          <w:szCs w:val="24"/>
          <w:highlight w:val="none"/>
        </w:rPr>
      </w:pPr>
      <w:r>
        <w:rPr>
          <w:rFonts w:hint="eastAsia" w:ascii="宋体" w:hAnsi="宋体" w:eastAsia="宋体" w:cs="宋体"/>
          <w:kern w:val="0"/>
          <w:sz w:val="24"/>
          <w:highlight w:val="none"/>
          <w:lang w:bidi="ar"/>
        </w:rPr>
        <w:t>（2）严禁项目转包或分包，严禁以包代管、权责不清、责任推诿等不良现象。</w:t>
      </w:r>
    </w:p>
    <w:p w14:paraId="71B2A3EF">
      <w:pPr>
        <w:spacing w:line="360" w:lineRule="auto"/>
        <w:ind w:firstLine="482" w:firstLineChars="200"/>
        <w:rPr>
          <w:rFonts w:ascii="宋体" w:hAnsi="宋体" w:eastAsia="宋体" w:cs="宋体"/>
          <w:b/>
          <w:color w:val="000000" w:themeColor="text1"/>
          <w:sz w:val="24"/>
          <w:szCs w:val="24"/>
          <w:highlight w:val="none"/>
          <w14:textFill>
            <w14:solidFill>
              <w14:schemeClr w14:val="tx1"/>
            </w14:solidFill>
          </w14:textFill>
        </w:rPr>
      </w:pPr>
      <w:bookmarkStart w:id="27" w:name="OLE_LINK6"/>
      <w:bookmarkStart w:id="28" w:name="OLE_LINK7"/>
      <w:r>
        <w:rPr>
          <w:rFonts w:hint="eastAsia" w:ascii="宋体" w:hAnsi="宋体" w:eastAsia="宋体" w:cs="宋体"/>
          <w:b/>
          <w:color w:val="000000" w:themeColor="text1"/>
          <w:sz w:val="24"/>
          <w:szCs w:val="24"/>
          <w:highlight w:val="none"/>
          <w14:textFill>
            <w14:solidFill>
              <w14:schemeClr w14:val="tx1"/>
            </w14:solidFill>
          </w14:textFill>
        </w:rPr>
        <w:t>3.1</w:t>
      </w:r>
      <w:r>
        <w:rPr>
          <w:rFonts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物业管理考核</w:t>
      </w:r>
    </w:p>
    <w:bookmarkEnd w:id="27"/>
    <w:bookmarkEnd w:id="28"/>
    <w:p w14:paraId="1F6D5019">
      <w:pPr>
        <w:spacing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3.1</w:t>
      </w:r>
      <w:r>
        <w:rPr>
          <w:rFonts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.1 服务质量保证</w:t>
      </w:r>
    </w:p>
    <w:p w14:paraId="3E2362CE">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中标方应</w:t>
      </w:r>
      <w:r>
        <w:rPr>
          <w:rFonts w:hint="eastAsia" w:ascii="宋体" w:hAnsi="宋体" w:eastAsia="宋体" w:cs="宋体"/>
          <w:color w:val="000000" w:themeColor="text1"/>
          <w:sz w:val="24"/>
          <w:szCs w:val="24"/>
          <w:highlight w:val="none"/>
          <w14:textFill>
            <w14:solidFill>
              <w14:schemeClr w14:val="tx1"/>
            </w14:solidFill>
          </w14:textFill>
        </w:rPr>
        <w:t>严格按照招标文件技术要求进行物业管理，规范物业管理服务行为，在保证服务质量前提下为采购方提供物业管理服务。</w:t>
      </w:r>
    </w:p>
    <w:p w14:paraId="1D47DA7F">
      <w:pPr>
        <w:spacing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3.1</w:t>
      </w:r>
      <w:r>
        <w:rPr>
          <w:rFonts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.2 考核方式</w:t>
      </w:r>
    </w:p>
    <w:p w14:paraId="0E12F0B9">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（1）采购方通过月度考评和学期满意度调查相结合的方式对中标方物业管理服务绩效进行评价，采用百分制进行计分。月度考评分为日常巡查、师生投诉和加分项目三项，</w:t>
      </w:r>
      <w:r>
        <w:rPr>
          <w:rFonts w:hint="eastAsia" w:ascii="宋体" w:hAnsi="宋体" w:eastAsia="宋体" w:cs="宋体"/>
          <w:sz w:val="24"/>
          <w:highlight w:val="none"/>
        </w:rPr>
        <w:t>月度考评分数=100分-当月日常巡查扣分-当月师生投诉扣分+当月加分，月度考评结果作为物业管理每月服务费支付的主要依据。</w:t>
      </w:r>
    </w:p>
    <w:p w14:paraId="4B71B06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（2）日常巡查：由采购人依据《日常巡查表》（表</w:t>
      </w:r>
      <w:r>
        <w:rPr>
          <w:rFonts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）对中标人物业管理服务内容进行定时或不定时巡查考核，累计每次考核扣分为当月日常巡查扣分。</w:t>
      </w:r>
    </w:p>
    <w:p w14:paraId="2A961D37">
      <w:pPr>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（3）师生投诉：中标人物业管理服务工作受到师生投诉，视情况进行扣分，累计每次投诉扣分为当月师生投诉扣分，扣分标准见《师生投诉扣分标准》（表6）。</w:t>
      </w:r>
    </w:p>
    <w:p w14:paraId="7099B962">
      <w:pPr>
        <w:spacing w:line="360" w:lineRule="auto"/>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（4）加分项目：中标方在工作期间表现出色，服务满意，可获得考核加分，累计每次加分为当月加分。加分明细详见《加分标准》（表7）。</w:t>
      </w:r>
    </w:p>
    <w:p w14:paraId="7FD73C2D">
      <w:pPr>
        <w:ind w:firstLine="360" w:firstLineChars="200"/>
        <w:jc w:val="center"/>
        <w:rPr>
          <w:rFonts w:asciiTheme="minorEastAsia" w:hAnsiTheme="minorEastAsia"/>
          <w:color w:val="000000" w:themeColor="text1"/>
          <w:sz w:val="18"/>
          <w:szCs w:val="18"/>
          <w:highlight w:val="none"/>
          <w14:textFill>
            <w14:solidFill>
              <w14:schemeClr w14:val="tx1"/>
            </w14:solidFill>
          </w14:textFill>
        </w:rPr>
      </w:pPr>
      <w:r>
        <w:rPr>
          <w:rFonts w:asciiTheme="minorEastAsia" w:hAnsiTheme="minorEastAsia"/>
          <w:color w:val="000000" w:themeColor="text1"/>
          <w:sz w:val="18"/>
          <w:szCs w:val="18"/>
          <w:highlight w:val="none"/>
          <w14:textFill>
            <w14:solidFill>
              <w14:schemeClr w14:val="tx1"/>
            </w14:solidFill>
          </w14:textFill>
        </w:rPr>
        <w:t xml:space="preserve">表5  </w:t>
      </w:r>
      <w:r>
        <w:rPr>
          <w:rFonts w:hint="eastAsia" w:asciiTheme="minorEastAsia" w:hAnsiTheme="minorEastAsia"/>
          <w:color w:val="000000" w:themeColor="text1"/>
          <w:sz w:val="18"/>
          <w:szCs w:val="18"/>
          <w:highlight w:val="none"/>
          <w14:textFill>
            <w14:solidFill>
              <w14:schemeClr w14:val="tx1"/>
            </w14:solidFill>
          </w14:textFill>
        </w:rPr>
        <w:t>日常巡查</w:t>
      </w:r>
      <w:r>
        <w:rPr>
          <w:rFonts w:asciiTheme="minorEastAsia" w:hAnsiTheme="minorEastAsia"/>
          <w:color w:val="000000" w:themeColor="text1"/>
          <w:sz w:val="18"/>
          <w:szCs w:val="18"/>
          <w:highlight w:val="none"/>
          <w14:textFill>
            <w14:solidFill>
              <w14:schemeClr w14:val="tx1"/>
            </w14:solidFill>
          </w14:textFill>
        </w:rPr>
        <w:t>表</w:t>
      </w:r>
    </w:p>
    <w:p w14:paraId="23D51B33">
      <w:pPr>
        <w:wordWrap w:val="0"/>
        <w:spacing w:line="140" w:lineRule="exact"/>
        <w:jc w:val="left"/>
        <w:textAlignment w:val="baseline"/>
        <w:rPr>
          <w:sz w:val="14"/>
          <w:highlight w:val="none"/>
        </w:rPr>
      </w:pP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96"/>
        <w:gridCol w:w="5804"/>
        <w:gridCol w:w="680"/>
        <w:gridCol w:w="680"/>
      </w:tblGrid>
      <w:tr w14:paraId="1EB51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996" w:type="dxa"/>
            <w:vAlign w:val="center"/>
          </w:tcPr>
          <w:p w14:paraId="26462C1A">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项目</w:t>
            </w:r>
          </w:p>
        </w:tc>
        <w:tc>
          <w:tcPr>
            <w:tcW w:w="5804" w:type="dxa"/>
            <w:vAlign w:val="center"/>
          </w:tcPr>
          <w:p w14:paraId="7D087D5D">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减分内容及扣分标准</w:t>
            </w:r>
          </w:p>
        </w:tc>
        <w:tc>
          <w:tcPr>
            <w:tcW w:w="680" w:type="dxa"/>
            <w:vAlign w:val="center"/>
          </w:tcPr>
          <w:p w14:paraId="4C4ABE21">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减分</w:t>
            </w:r>
          </w:p>
        </w:tc>
        <w:tc>
          <w:tcPr>
            <w:tcW w:w="680" w:type="dxa"/>
            <w:vAlign w:val="center"/>
          </w:tcPr>
          <w:p w14:paraId="78B7B42A">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备注</w:t>
            </w:r>
          </w:p>
        </w:tc>
      </w:tr>
      <w:tr w14:paraId="00C90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16FAE456">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人员管理</w:t>
            </w:r>
          </w:p>
        </w:tc>
        <w:tc>
          <w:tcPr>
            <w:tcW w:w="5804" w:type="dxa"/>
            <w:vAlign w:val="center"/>
          </w:tcPr>
          <w:p w14:paraId="1A603947">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人员未签订劳动合同、未进行岗前培训、不符合岗位要求就派驻上岗；不按要求报告人员更换或及时补充人员；需持证上岗人员无证上岗。出现以上情况每项扣1分。</w:t>
            </w:r>
          </w:p>
        </w:tc>
        <w:tc>
          <w:tcPr>
            <w:tcW w:w="680" w:type="dxa"/>
            <w:vAlign w:val="center"/>
          </w:tcPr>
          <w:p w14:paraId="028AFA69">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79FDA66A">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17FAB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96" w:type="dxa"/>
            <w:vMerge w:val="continue"/>
          </w:tcPr>
          <w:p w14:paraId="4EE1BA02">
            <w:pPr>
              <w:rPr>
                <w:rFonts w:asciiTheme="minorEastAsia" w:hAnsiTheme="minorEastAsia" w:cstheme="minorEastAsia"/>
                <w:sz w:val="18"/>
                <w:szCs w:val="18"/>
                <w:highlight w:val="none"/>
              </w:rPr>
            </w:pPr>
          </w:p>
        </w:tc>
        <w:tc>
          <w:tcPr>
            <w:tcW w:w="5804" w:type="dxa"/>
            <w:vAlign w:val="center"/>
          </w:tcPr>
          <w:p w14:paraId="7FAAEEDF">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缺乏政治素养，影响校园稳定；放松思想教育，人员出现盗窃财物、侵占损坏公物、贪污挪用公款、在校园内酗酒滋事、打架斗殴、赌博、传播观看淫秽资料等行为；放松保密和安全教育，人员出现泄漏秘密或安全事故等情况。出现以上情况，视情节严重和影响扣2至5分，出现违法犯罪的扣10分。</w:t>
            </w:r>
          </w:p>
        </w:tc>
        <w:tc>
          <w:tcPr>
            <w:tcW w:w="680" w:type="dxa"/>
            <w:vAlign w:val="center"/>
          </w:tcPr>
          <w:p w14:paraId="6E19C405">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586F3E4B">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3FF2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3C226CCA">
            <w:pPr>
              <w:rPr>
                <w:rFonts w:asciiTheme="minorEastAsia" w:hAnsiTheme="minorEastAsia" w:cstheme="minorEastAsia"/>
                <w:sz w:val="18"/>
                <w:szCs w:val="18"/>
                <w:highlight w:val="none"/>
              </w:rPr>
            </w:pPr>
          </w:p>
        </w:tc>
        <w:tc>
          <w:tcPr>
            <w:tcW w:w="5804" w:type="dxa"/>
            <w:vAlign w:val="center"/>
          </w:tcPr>
          <w:p w14:paraId="4EB3393F">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不按要求巡查值班，出现脱岗、漏岗，或聊天、打牌、玩游戏影响正常工作等情况，每次扣2分。</w:t>
            </w:r>
          </w:p>
        </w:tc>
        <w:tc>
          <w:tcPr>
            <w:tcW w:w="680" w:type="dxa"/>
            <w:vAlign w:val="center"/>
          </w:tcPr>
          <w:p w14:paraId="0A207D2F">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5A34B211">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00A40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continue"/>
          </w:tcPr>
          <w:p w14:paraId="415B8EAE">
            <w:pPr>
              <w:rPr>
                <w:rFonts w:asciiTheme="minorEastAsia" w:hAnsiTheme="minorEastAsia" w:cstheme="minorEastAsia"/>
                <w:sz w:val="18"/>
                <w:szCs w:val="18"/>
                <w:highlight w:val="none"/>
              </w:rPr>
            </w:pPr>
          </w:p>
        </w:tc>
        <w:tc>
          <w:tcPr>
            <w:tcW w:w="5804" w:type="dxa"/>
            <w:vAlign w:val="center"/>
          </w:tcPr>
          <w:p w14:paraId="7A7A5469">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工作消极，或不能按要求完成采购人交办的临时性工作任务，或管理人员不按要求值守，不能保持与采购人通讯通畅。出现以上情况每次扣2分。</w:t>
            </w:r>
          </w:p>
        </w:tc>
        <w:tc>
          <w:tcPr>
            <w:tcW w:w="680" w:type="dxa"/>
            <w:vAlign w:val="center"/>
          </w:tcPr>
          <w:p w14:paraId="1A958FF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10365EAA">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782A0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tcPr>
          <w:p w14:paraId="7C52FC7F">
            <w:pPr>
              <w:rPr>
                <w:rFonts w:asciiTheme="minorEastAsia" w:hAnsiTheme="minorEastAsia" w:cstheme="minorEastAsia"/>
                <w:sz w:val="18"/>
                <w:szCs w:val="18"/>
                <w:highlight w:val="none"/>
              </w:rPr>
            </w:pPr>
          </w:p>
        </w:tc>
        <w:tc>
          <w:tcPr>
            <w:tcW w:w="5804" w:type="dxa"/>
            <w:vAlign w:val="center"/>
          </w:tcPr>
          <w:p w14:paraId="3216E39F">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检查时，发现人员不足，每次扣3分。</w:t>
            </w:r>
          </w:p>
        </w:tc>
        <w:tc>
          <w:tcPr>
            <w:tcW w:w="680" w:type="dxa"/>
            <w:vAlign w:val="center"/>
          </w:tcPr>
          <w:p w14:paraId="06C54DC8">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358DBC2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7AC81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restart"/>
            <w:vAlign w:val="center"/>
          </w:tcPr>
          <w:p w14:paraId="56C6C2A9">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服务态度</w:t>
            </w:r>
          </w:p>
        </w:tc>
        <w:tc>
          <w:tcPr>
            <w:tcW w:w="5804" w:type="dxa"/>
            <w:vAlign w:val="center"/>
          </w:tcPr>
          <w:p w14:paraId="3BF2F997">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人员不按规定统一着装，或服装不整洁，每次扣1分。</w:t>
            </w:r>
          </w:p>
        </w:tc>
        <w:tc>
          <w:tcPr>
            <w:tcW w:w="680" w:type="dxa"/>
            <w:vAlign w:val="center"/>
          </w:tcPr>
          <w:p w14:paraId="194ADDBA">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551082BB">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0257D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96" w:type="dxa"/>
            <w:vMerge w:val="continue"/>
          </w:tcPr>
          <w:p w14:paraId="16ACDAA7">
            <w:pPr>
              <w:rPr>
                <w:rFonts w:asciiTheme="minorEastAsia" w:hAnsiTheme="minorEastAsia" w:cstheme="minorEastAsia"/>
                <w:sz w:val="18"/>
                <w:szCs w:val="18"/>
                <w:highlight w:val="none"/>
              </w:rPr>
            </w:pPr>
          </w:p>
        </w:tc>
        <w:tc>
          <w:tcPr>
            <w:tcW w:w="5804" w:type="dxa"/>
            <w:vAlign w:val="center"/>
          </w:tcPr>
          <w:p w14:paraId="7B17EAED">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对采购人提出的意见和建议未及时进行反馈或改进的，一次扣1分。</w:t>
            </w:r>
          </w:p>
        </w:tc>
        <w:tc>
          <w:tcPr>
            <w:tcW w:w="680" w:type="dxa"/>
            <w:vAlign w:val="center"/>
          </w:tcPr>
          <w:p w14:paraId="00AF0AD0">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015C2103">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64B33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996" w:type="dxa"/>
            <w:vMerge w:val="continue"/>
          </w:tcPr>
          <w:p w14:paraId="18B0664E">
            <w:pPr>
              <w:rPr>
                <w:rFonts w:asciiTheme="minorEastAsia" w:hAnsiTheme="minorEastAsia" w:cstheme="minorEastAsia"/>
                <w:sz w:val="18"/>
                <w:szCs w:val="18"/>
                <w:highlight w:val="none"/>
              </w:rPr>
            </w:pPr>
          </w:p>
        </w:tc>
        <w:tc>
          <w:tcPr>
            <w:tcW w:w="5804" w:type="dxa"/>
            <w:vAlign w:val="center"/>
          </w:tcPr>
          <w:p w14:paraId="3AF1C467">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物业工作要有计划流程、工作制度、监督考核办法，按采购人要求制定各种台账报表，未按采购人要求制定规章制度、工作台账，每项扣1分。</w:t>
            </w:r>
          </w:p>
        </w:tc>
        <w:tc>
          <w:tcPr>
            <w:tcW w:w="680" w:type="dxa"/>
            <w:vAlign w:val="center"/>
          </w:tcPr>
          <w:p w14:paraId="4FC83B10">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7D158B47">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50632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996" w:type="dxa"/>
            <w:vMerge w:val="restart"/>
            <w:vAlign w:val="center"/>
          </w:tcPr>
          <w:p w14:paraId="7BA68BD4">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环境保洁</w:t>
            </w:r>
          </w:p>
        </w:tc>
        <w:tc>
          <w:tcPr>
            <w:tcW w:w="5804" w:type="dxa"/>
            <w:vAlign w:val="center"/>
          </w:tcPr>
          <w:p w14:paraId="29A038EB">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室内外公共区域、教室、指定办公室、会议室、公共卫生间等所有保洁区域保洁不到位，未按照招标保洁标准实施，有明显污垢、垃圾或异味；垃圾箱清理不及时，垃圾堆满；垃圾箱外表面明显不洁净等，每项扣1分。</w:t>
            </w:r>
          </w:p>
        </w:tc>
        <w:tc>
          <w:tcPr>
            <w:tcW w:w="680" w:type="dxa"/>
            <w:vAlign w:val="center"/>
          </w:tcPr>
          <w:p w14:paraId="26F3E92A">
            <w:pPr>
              <w:wordWrap w:val="0"/>
              <w:spacing w:line="240" w:lineRule="exact"/>
              <w:textAlignment w:val="baseline"/>
              <w:rPr>
                <w:rFonts w:asciiTheme="minorEastAsia" w:hAnsiTheme="minorEastAsia" w:cstheme="minorEastAsia"/>
                <w:color w:val="FF0000"/>
                <w:sz w:val="18"/>
                <w:szCs w:val="18"/>
                <w:highlight w:val="none"/>
              </w:rPr>
            </w:pPr>
            <w:r>
              <w:rPr>
                <w:rFonts w:hint="eastAsia" w:asciiTheme="minorEastAsia" w:hAnsiTheme="minorEastAsia" w:cstheme="minorEastAsia"/>
                <w:color w:val="FF0000"/>
                <w:sz w:val="18"/>
                <w:szCs w:val="18"/>
                <w:highlight w:val="none"/>
              </w:rPr>
              <w:t xml:space="preserve"> </w:t>
            </w:r>
          </w:p>
        </w:tc>
        <w:tc>
          <w:tcPr>
            <w:tcW w:w="680" w:type="dxa"/>
            <w:vAlign w:val="center"/>
          </w:tcPr>
          <w:p w14:paraId="7FE35B65">
            <w:pPr>
              <w:wordWrap w:val="0"/>
              <w:spacing w:line="240" w:lineRule="exact"/>
              <w:textAlignment w:val="baseline"/>
              <w:rPr>
                <w:rFonts w:asciiTheme="minorEastAsia" w:hAnsiTheme="minorEastAsia" w:cstheme="minorEastAsia"/>
                <w:color w:val="FF0000"/>
                <w:sz w:val="18"/>
                <w:szCs w:val="18"/>
                <w:highlight w:val="none"/>
              </w:rPr>
            </w:pPr>
            <w:r>
              <w:rPr>
                <w:rFonts w:hint="eastAsia" w:asciiTheme="minorEastAsia" w:hAnsiTheme="minorEastAsia" w:cstheme="minorEastAsia"/>
                <w:color w:val="FF0000"/>
                <w:sz w:val="18"/>
                <w:szCs w:val="18"/>
                <w:highlight w:val="none"/>
              </w:rPr>
              <w:t xml:space="preserve"> </w:t>
            </w:r>
          </w:p>
        </w:tc>
      </w:tr>
      <w:tr w14:paraId="091D5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32C0F7FB">
            <w:pPr>
              <w:rPr>
                <w:rFonts w:asciiTheme="minorEastAsia" w:hAnsiTheme="minorEastAsia" w:cstheme="minorEastAsia"/>
                <w:sz w:val="18"/>
                <w:szCs w:val="18"/>
                <w:highlight w:val="none"/>
              </w:rPr>
            </w:pPr>
          </w:p>
        </w:tc>
        <w:tc>
          <w:tcPr>
            <w:tcW w:w="5804" w:type="dxa"/>
            <w:vAlign w:val="center"/>
          </w:tcPr>
          <w:p w14:paraId="5B0FD5C2">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保洁方式、措施不当，造成设施设备损坏有明显痕迹无法修复的，每项扣1分。</w:t>
            </w:r>
          </w:p>
        </w:tc>
        <w:tc>
          <w:tcPr>
            <w:tcW w:w="680" w:type="dxa"/>
            <w:vAlign w:val="center"/>
          </w:tcPr>
          <w:p w14:paraId="08F9DE16">
            <w:pPr>
              <w:wordWrap w:val="0"/>
              <w:spacing w:line="240" w:lineRule="exact"/>
              <w:textAlignment w:val="baseline"/>
              <w:rPr>
                <w:rFonts w:asciiTheme="minorEastAsia" w:hAnsiTheme="minorEastAsia" w:cstheme="minorEastAsia"/>
                <w:color w:val="FF0000"/>
                <w:sz w:val="18"/>
                <w:szCs w:val="18"/>
                <w:highlight w:val="none"/>
              </w:rPr>
            </w:pPr>
            <w:r>
              <w:rPr>
                <w:rFonts w:hint="eastAsia" w:asciiTheme="minorEastAsia" w:hAnsiTheme="minorEastAsia" w:cstheme="minorEastAsia"/>
                <w:color w:val="FF0000"/>
                <w:sz w:val="18"/>
                <w:szCs w:val="18"/>
                <w:highlight w:val="none"/>
              </w:rPr>
              <w:t xml:space="preserve"> </w:t>
            </w:r>
          </w:p>
        </w:tc>
        <w:tc>
          <w:tcPr>
            <w:tcW w:w="680" w:type="dxa"/>
            <w:vAlign w:val="center"/>
          </w:tcPr>
          <w:p w14:paraId="6C1E13A7">
            <w:pPr>
              <w:wordWrap w:val="0"/>
              <w:spacing w:line="240" w:lineRule="exact"/>
              <w:textAlignment w:val="baseline"/>
              <w:rPr>
                <w:rFonts w:asciiTheme="minorEastAsia" w:hAnsiTheme="minorEastAsia" w:cstheme="minorEastAsia"/>
                <w:color w:val="FF0000"/>
                <w:sz w:val="18"/>
                <w:szCs w:val="18"/>
                <w:highlight w:val="none"/>
              </w:rPr>
            </w:pPr>
            <w:r>
              <w:rPr>
                <w:rFonts w:hint="eastAsia" w:asciiTheme="minorEastAsia" w:hAnsiTheme="minorEastAsia" w:cstheme="minorEastAsia"/>
                <w:color w:val="FF0000"/>
                <w:sz w:val="18"/>
                <w:szCs w:val="18"/>
                <w:highlight w:val="none"/>
              </w:rPr>
              <w:t xml:space="preserve"> </w:t>
            </w:r>
          </w:p>
        </w:tc>
      </w:tr>
      <w:tr w14:paraId="1400F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3DE92F3E">
            <w:pPr>
              <w:rPr>
                <w:rFonts w:asciiTheme="minorEastAsia" w:hAnsiTheme="minorEastAsia" w:cstheme="minorEastAsia"/>
                <w:color w:val="FF0000"/>
                <w:sz w:val="18"/>
                <w:szCs w:val="18"/>
                <w:highlight w:val="none"/>
              </w:rPr>
            </w:pPr>
          </w:p>
        </w:tc>
        <w:tc>
          <w:tcPr>
            <w:tcW w:w="5804" w:type="dxa"/>
            <w:vAlign w:val="center"/>
          </w:tcPr>
          <w:p w14:paraId="396FA119">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卫</w:t>
            </w:r>
            <w:r>
              <w:rPr>
                <w:rFonts w:hint="eastAsia" w:asciiTheme="minorEastAsia" w:hAnsiTheme="minorEastAsia" w:cstheme="minorEastAsia"/>
                <w:sz w:val="18"/>
                <w:szCs w:val="18"/>
                <w:highlight w:val="none"/>
              </w:rPr>
              <w:t>生间</w:t>
            </w:r>
            <w:r>
              <w:rPr>
                <w:rFonts w:asciiTheme="minorEastAsia" w:hAnsiTheme="minorEastAsia" w:cstheme="minorEastAsia"/>
                <w:sz w:val="18"/>
                <w:szCs w:val="18"/>
                <w:highlight w:val="none"/>
              </w:rPr>
              <w:t>墙上无</w:t>
            </w:r>
            <w:r>
              <w:rPr>
                <w:rFonts w:hint="eastAsia" w:asciiTheme="minorEastAsia" w:hAnsiTheme="minorEastAsia" w:cstheme="minorEastAsia"/>
                <w:sz w:val="18"/>
                <w:szCs w:val="18"/>
                <w:highlight w:val="none"/>
              </w:rPr>
              <w:t>卷纸、擦</w:t>
            </w:r>
            <w:r>
              <w:rPr>
                <w:rFonts w:asciiTheme="minorEastAsia" w:hAnsiTheme="minorEastAsia" w:cstheme="minorEastAsia"/>
                <w:sz w:val="18"/>
                <w:szCs w:val="18"/>
                <w:highlight w:val="none"/>
              </w:rPr>
              <w:t>手纸、</w:t>
            </w:r>
            <w:r>
              <w:rPr>
                <w:rFonts w:hint="eastAsia" w:asciiTheme="minorEastAsia" w:hAnsiTheme="minorEastAsia" w:cstheme="minorEastAsia"/>
                <w:sz w:val="18"/>
                <w:szCs w:val="18"/>
                <w:highlight w:val="none"/>
              </w:rPr>
              <w:t>洗手液</w:t>
            </w:r>
            <w:r>
              <w:rPr>
                <w:rFonts w:asciiTheme="minorEastAsia" w:hAnsiTheme="minorEastAsia" w:cstheme="minorEastAsia"/>
                <w:sz w:val="18"/>
                <w:szCs w:val="18"/>
                <w:highlight w:val="none"/>
              </w:rPr>
              <w:t>等</w:t>
            </w:r>
            <w:r>
              <w:rPr>
                <w:rFonts w:hint="eastAsia" w:asciiTheme="minorEastAsia" w:hAnsiTheme="minorEastAsia" w:cstheme="minorEastAsia"/>
                <w:sz w:val="18"/>
                <w:szCs w:val="18"/>
                <w:highlight w:val="none"/>
              </w:rPr>
              <w:t>清洁用</w:t>
            </w:r>
            <w:r>
              <w:rPr>
                <w:rFonts w:asciiTheme="minorEastAsia" w:hAnsiTheme="minorEastAsia" w:cstheme="minorEastAsia"/>
                <w:sz w:val="18"/>
                <w:szCs w:val="18"/>
                <w:highlight w:val="none"/>
              </w:rPr>
              <w:t>品</w:t>
            </w:r>
            <w:r>
              <w:rPr>
                <w:rFonts w:hint="eastAsia" w:asciiTheme="minorEastAsia" w:hAnsiTheme="minorEastAsia" w:cstheme="minorEastAsia"/>
                <w:sz w:val="18"/>
                <w:szCs w:val="18"/>
                <w:highlight w:val="none"/>
              </w:rPr>
              <w:t>，</w:t>
            </w:r>
            <w:r>
              <w:rPr>
                <w:rFonts w:asciiTheme="minorEastAsia" w:hAnsiTheme="minorEastAsia" w:cstheme="minorEastAsia"/>
                <w:sz w:val="18"/>
                <w:szCs w:val="18"/>
                <w:highlight w:val="none"/>
              </w:rPr>
              <w:t>每处</w:t>
            </w:r>
            <w:r>
              <w:rPr>
                <w:rFonts w:hint="eastAsia" w:asciiTheme="minorEastAsia" w:hAnsiTheme="minorEastAsia" w:cstheme="minorEastAsia"/>
                <w:sz w:val="18"/>
                <w:szCs w:val="18"/>
                <w:highlight w:val="none"/>
              </w:rPr>
              <w:t>扣0</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分。卫生间</w:t>
            </w:r>
            <w:r>
              <w:rPr>
                <w:rFonts w:asciiTheme="minorEastAsia" w:hAnsiTheme="minorEastAsia" w:cstheme="minorEastAsia"/>
                <w:sz w:val="18"/>
                <w:szCs w:val="18"/>
                <w:highlight w:val="none"/>
              </w:rPr>
              <w:t>墙上</w:t>
            </w:r>
            <w:r>
              <w:rPr>
                <w:rFonts w:hint="eastAsia" w:asciiTheme="minorEastAsia" w:hAnsiTheme="minorEastAsia" w:cstheme="minorEastAsia"/>
                <w:sz w:val="18"/>
                <w:szCs w:val="18"/>
                <w:highlight w:val="none"/>
              </w:rPr>
              <w:t>卷纸、擦</w:t>
            </w:r>
            <w:r>
              <w:rPr>
                <w:rFonts w:asciiTheme="minorEastAsia" w:hAnsiTheme="minorEastAsia" w:cstheme="minorEastAsia"/>
                <w:sz w:val="18"/>
                <w:szCs w:val="18"/>
                <w:highlight w:val="none"/>
              </w:rPr>
              <w:t>手纸、</w:t>
            </w:r>
            <w:r>
              <w:rPr>
                <w:rFonts w:hint="eastAsia" w:asciiTheme="minorEastAsia" w:hAnsiTheme="minorEastAsia" w:cstheme="minorEastAsia"/>
                <w:sz w:val="18"/>
                <w:szCs w:val="18"/>
                <w:highlight w:val="none"/>
              </w:rPr>
              <w:t>洗手液不符合标准，</w:t>
            </w:r>
            <w:r>
              <w:rPr>
                <w:rFonts w:asciiTheme="minorEastAsia" w:hAnsiTheme="minorEastAsia" w:cstheme="minorEastAsia"/>
                <w:sz w:val="18"/>
                <w:szCs w:val="18"/>
                <w:highlight w:val="none"/>
              </w:rPr>
              <w:t>每处</w:t>
            </w:r>
            <w:r>
              <w:rPr>
                <w:rFonts w:hint="eastAsia" w:asciiTheme="minorEastAsia" w:hAnsiTheme="minorEastAsia" w:cstheme="minorEastAsia"/>
                <w:sz w:val="18"/>
                <w:szCs w:val="18"/>
                <w:highlight w:val="none"/>
              </w:rPr>
              <w:t>扣0</w:t>
            </w:r>
            <w:r>
              <w:rPr>
                <w:rFonts w:asciiTheme="minorEastAsia" w:hAnsiTheme="minorEastAsia" w:cstheme="minorEastAsia"/>
                <w:sz w:val="18"/>
                <w:szCs w:val="18"/>
                <w:highlight w:val="none"/>
              </w:rPr>
              <w:t>.5</w:t>
            </w:r>
            <w:r>
              <w:rPr>
                <w:rFonts w:hint="eastAsia" w:asciiTheme="minorEastAsia" w:hAnsiTheme="minorEastAsia" w:cstheme="minorEastAsia"/>
                <w:sz w:val="18"/>
                <w:szCs w:val="18"/>
                <w:highlight w:val="none"/>
              </w:rPr>
              <w:t>分</w:t>
            </w:r>
          </w:p>
        </w:tc>
        <w:tc>
          <w:tcPr>
            <w:tcW w:w="680" w:type="dxa"/>
            <w:vAlign w:val="center"/>
          </w:tcPr>
          <w:p w14:paraId="7CE16C14">
            <w:pPr>
              <w:wordWrap w:val="0"/>
              <w:spacing w:line="240" w:lineRule="exact"/>
              <w:textAlignment w:val="baseline"/>
              <w:rPr>
                <w:rFonts w:asciiTheme="minorEastAsia" w:hAnsiTheme="minorEastAsia" w:cstheme="minorEastAsia"/>
                <w:color w:val="FF0000"/>
                <w:sz w:val="18"/>
                <w:szCs w:val="18"/>
                <w:highlight w:val="none"/>
              </w:rPr>
            </w:pPr>
          </w:p>
        </w:tc>
        <w:tc>
          <w:tcPr>
            <w:tcW w:w="680" w:type="dxa"/>
            <w:vAlign w:val="center"/>
          </w:tcPr>
          <w:p w14:paraId="39D62570">
            <w:pPr>
              <w:wordWrap w:val="0"/>
              <w:spacing w:line="240" w:lineRule="exact"/>
              <w:textAlignment w:val="baseline"/>
              <w:rPr>
                <w:rFonts w:asciiTheme="minorEastAsia" w:hAnsiTheme="minorEastAsia" w:cstheme="minorEastAsia"/>
                <w:color w:val="FF0000"/>
                <w:sz w:val="18"/>
                <w:szCs w:val="18"/>
                <w:highlight w:val="none"/>
              </w:rPr>
            </w:pPr>
          </w:p>
        </w:tc>
      </w:tr>
      <w:tr w14:paraId="4C538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665DF0CB">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安全秩序</w:t>
            </w:r>
          </w:p>
        </w:tc>
        <w:tc>
          <w:tcPr>
            <w:tcW w:w="5804" w:type="dxa"/>
            <w:vAlign w:val="center"/>
          </w:tcPr>
          <w:p w14:paraId="347EA24F">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未建立安全管理制度；各责任人不切实履行安全责任，防火、防盗、防爆、防毒等工作落实不到位；违反安全规定或安全操作规程，酿成意外事故或灾害的每次扣10分。</w:t>
            </w:r>
          </w:p>
        </w:tc>
        <w:tc>
          <w:tcPr>
            <w:tcW w:w="680" w:type="dxa"/>
            <w:vAlign w:val="center"/>
          </w:tcPr>
          <w:p w14:paraId="59ED6AF3">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687EC6C5">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50671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continue"/>
          </w:tcPr>
          <w:p w14:paraId="50176D5B">
            <w:pPr>
              <w:rPr>
                <w:rFonts w:asciiTheme="minorEastAsia" w:hAnsiTheme="minorEastAsia" w:cstheme="minorEastAsia"/>
                <w:sz w:val="18"/>
                <w:szCs w:val="18"/>
                <w:highlight w:val="none"/>
              </w:rPr>
            </w:pPr>
          </w:p>
        </w:tc>
        <w:tc>
          <w:tcPr>
            <w:tcW w:w="5804" w:type="dxa"/>
            <w:vAlign w:val="center"/>
          </w:tcPr>
          <w:p w14:paraId="7BEFF838">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人员不熟悉安全操作规范、各类应急预案和消防安全常识，不会正确及时地进行初期处置、开展自救互救降低损失的，每次扣1分；造成不良后果的，每次扣20分。</w:t>
            </w:r>
          </w:p>
        </w:tc>
        <w:tc>
          <w:tcPr>
            <w:tcW w:w="680" w:type="dxa"/>
            <w:vAlign w:val="center"/>
          </w:tcPr>
          <w:p w14:paraId="7ED7BFB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36A5CC54">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4C796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6" w:type="dxa"/>
            <w:vMerge w:val="continue"/>
          </w:tcPr>
          <w:p w14:paraId="1F2FC998">
            <w:pPr>
              <w:rPr>
                <w:rFonts w:asciiTheme="minorEastAsia" w:hAnsiTheme="minorEastAsia" w:cstheme="minorEastAsia"/>
                <w:sz w:val="18"/>
                <w:szCs w:val="18"/>
                <w:highlight w:val="none"/>
              </w:rPr>
            </w:pPr>
          </w:p>
        </w:tc>
        <w:tc>
          <w:tcPr>
            <w:tcW w:w="5804" w:type="dxa"/>
            <w:vAlign w:val="center"/>
          </w:tcPr>
          <w:p w14:paraId="7EBA9388">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严禁物业人员使用违规电器，发现一次扣1分。</w:t>
            </w:r>
          </w:p>
        </w:tc>
        <w:tc>
          <w:tcPr>
            <w:tcW w:w="680" w:type="dxa"/>
            <w:vAlign w:val="center"/>
          </w:tcPr>
          <w:p w14:paraId="04B9C8F1">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40D1AE99">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09E83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996" w:type="dxa"/>
            <w:vMerge w:val="continue"/>
          </w:tcPr>
          <w:p w14:paraId="05E7184A">
            <w:pPr>
              <w:rPr>
                <w:rFonts w:asciiTheme="minorEastAsia" w:hAnsiTheme="minorEastAsia" w:cstheme="minorEastAsia"/>
                <w:sz w:val="18"/>
                <w:szCs w:val="18"/>
                <w:highlight w:val="none"/>
              </w:rPr>
            </w:pPr>
          </w:p>
        </w:tc>
        <w:tc>
          <w:tcPr>
            <w:tcW w:w="5804" w:type="dxa"/>
            <w:vAlign w:val="center"/>
          </w:tcPr>
          <w:p w14:paraId="5D44FEA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安全巡查、安全检查要定期进行并建立台账，未按要求进行检查或未建立台账的，发现一次扣1分。</w:t>
            </w:r>
          </w:p>
        </w:tc>
        <w:tc>
          <w:tcPr>
            <w:tcW w:w="680" w:type="dxa"/>
            <w:vAlign w:val="center"/>
          </w:tcPr>
          <w:p w14:paraId="6852C80D">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6530B9BC">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3E352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7925E1B0">
            <w:pPr>
              <w:wordWrap w:val="0"/>
              <w:spacing w:line="260" w:lineRule="atLeast"/>
              <w:ind w:left="100"/>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绿化养护管理</w:t>
            </w:r>
          </w:p>
        </w:tc>
        <w:tc>
          <w:tcPr>
            <w:tcW w:w="5804" w:type="dxa"/>
            <w:vAlign w:val="center"/>
          </w:tcPr>
          <w:p w14:paraId="290D0A7B">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派专业人员根据每种绿植的特征对租摆植物定期进行浇水、施肥、培育、修剪枝杈及防治病虫害，未及时更换死亡的植株，每次扣1分。</w:t>
            </w:r>
          </w:p>
        </w:tc>
        <w:tc>
          <w:tcPr>
            <w:tcW w:w="680" w:type="dxa"/>
            <w:vAlign w:val="center"/>
          </w:tcPr>
          <w:p w14:paraId="66546F32">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6BEEDA31">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3D013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tcPr>
          <w:p w14:paraId="7EDE7F16">
            <w:pPr>
              <w:rPr>
                <w:rFonts w:asciiTheme="minorEastAsia" w:hAnsiTheme="minorEastAsia" w:cstheme="minorEastAsia"/>
                <w:sz w:val="18"/>
                <w:szCs w:val="18"/>
                <w:highlight w:val="none"/>
              </w:rPr>
            </w:pPr>
          </w:p>
        </w:tc>
        <w:tc>
          <w:tcPr>
            <w:tcW w:w="5804" w:type="dxa"/>
            <w:vAlign w:val="center"/>
          </w:tcPr>
          <w:p w14:paraId="4D87BB16">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未及时修剪乔木、灌木，保持整体美观，每次扣1分。</w:t>
            </w:r>
          </w:p>
        </w:tc>
        <w:tc>
          <w:tcPr>
            <w:tcW w:w="680" w:type="dxa"/>
            <w:vAlign w:val="center"/>
          </w:tcPr>
          <w:p w14:paraId="33CB2CA2">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0A76FABF">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011C3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tcPr>
          <w:p w14:paraId="6C6444F4">
            <w:pPr>
              <w:rPr>
                <w:rFonts w:asciiTheme="minorEastAsia" w:hAnsiTheme="minorEastAsia" w:cstheme="minorEastAsia"/>
                <w:sz w:val="18"/>
                <w:szCs w:val="18"/>
                <w:highlight w:val="none"/>
              </w:rPr>
            </w:pPr>
          </w:p>
        </w:tc>
        <w:tc>
          <w:tcPr>
            <w:tcW w:w="5804" w:type="dxa"/>
            <w:vAlign w:val="center"/>
          </w:tcPr>
          <w:p w14:paraId="59814FC0">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应根据植物生长的实际情况对内庭绿化进行浇水、除草、修剪、施肥、病虫害防治等，因养护不当造成植物死亡，除及时补栽相同物种外，每死亡一株乔木、灌木、盆景扣1分。</w:t>
            </w:r>
          </w:p>
        </w:tc>
        <w:tc>
          <w:tcPr>
            <w:tcW w:w="680" w:type="dxa"/>
            <w:vAlign w:val="center"/>
          </w:tcPr>
          <w:p w14:paraId="369F7243">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755E10B4">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45729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3" w:hRule="atLeast"/>
        </w:trPr>
        <w:tc>
          <w:tcPr>
            <w:tcW w:w="996" w:type="dxa"/>
            <w:vAlign w:val="center"/>
          </w:tcPr>
          <w:p w14:paraId="5B531453">
            <w:pPr>
              <w:jc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接待服务</w:t>
            </w:r>
          </w:p>
        </w:tc>
        <w:tc>
          <w:tcPr>
            <w:tcW w:w="5804" w:type="dxa"/>
            <w:vAlign w:val="center"/>
          </w:tcPr>
          <w:p w14:paraId="13010A2D">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会议服务人员要履行好所属区域的管理职责，及时做好多媒体设施设备的检查、卫生保洁、会务前期准备、会务期间服务、会务后整理。未按要求执行的，每项扣0.5分。</w:t>
            </w:r>
          </w:p>
        </w:tc>
        <w:tc>
          <w:tcPr>
            <w:tcW w:w="680" w:type="dxa"/>
            <w:vAlign w:val="center"/>
          </w:tcPr>
          <w:p w14:paraId="4AA59471">
            <w:pPr>
              <w:wordWrap w:val="0"/>
              <w:spacing w:line="240" w:lineRule="exact"/>
              <w:textAlignment w:val="baseline"/>
              <w:rPr>
                <w:rFonts w:asciiTheme="minorEastAsia" w:hAnsiTheme="minorEastAsia" w:cstheme="minorEastAsia"/>
                <w:sz w:val="18"/>
                <w:szCs w:val="18"/>
                <w:highlight w:val="none"/>
              </w:rPr>
            </w:pPr>
          </w:p>
        </w:tc>
        <w:tc>
          <w:tcPr>
            <w:tcW w:w="680" w:type="dxa"/>
            <w:vAlign w:val="center"/>
          </w:tcPr>
          <w:p w14:paraId="0E4F1311">
            <w:pPr>
              <w:wordWrap w:val="0"/>
              <w:spacing w:line="240" w:lineRule="exact"/>
              <w:textAlignment w:val="baseline"/>
              <w:rPr>
                <w:rFonts w:asciiTheme="minorEastAsia" w:hAnsiTheme="minorEastAsia" w:cstheme="minorEastAsia"/>
                <w:sz w:val="18"/>
                <w:szCs w:val="18"/>
                <w:highlight w:val="none"/>
              </w:rPr>
            </w:pPr>
          </w:p>
        </w:tc>
      </w:tr>
      <w:tr w14:paraId="15E56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200F4C91">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多媒体教室管理</w:t>
            </w:r>
          </w:p>
        </w:tc>
        <w:tc>
          <w:tcPr>
            <w:tcW w:w="5804" w:type="dxa"/>
            <w:vAlign w:val="center"/>
          </w:tcPr>
          <w:p w14:paraId="3D6B30FA">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多媒体教室管理员要履行好所属区域的管理职责，及时做好多媒体设施设备的检查和卫生保洁。未按要要求进行检查和保洁的，每间扣0.5分。</w:t>
            </w:r>
          </w:p>
        </w:tc>
        <w:tc>
          <w:tcPr>
            <w:tcW w:w="680" w:type="dxa"/>
            <w:vAlign w:val="center"/>
          </w:tcPr>
          <w:p w14:paraId="2E48F25B">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287C31CB">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7119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996" w:type="dxa"/>
            <w:vMerge w:val="continue"/>
          </w:tcPr>
          <w:p w14:paraId="430F0A67">
            <w:pPr>
              <w:wordWrap w:val="0"/>
              <w:spacing w:before="20" w:line="240" w:lineRule="atLeast"/>
              <w:jc w:val="center"/>
              <w:textAlignment w:val="baseline"/>
              <w:rPr>
                <w:rFonts w:asciiTheme="minorEastAsia" w:hAnsiTheme="minorEastAsia" w:cstheme="minorEastAsia"/>
                <w:sz w:val="18"/>
                <w:szCs w:val="18"/>
                <w:highlight w:val="none"/>
              </w:rPr>
            </w:pPr>
          </w:p>
        </w:tc>
        <w:tc>
          <w:tcPr>
            <w:tcW w:w="5804" w:type="dxa"/>
            <w:vAlign w:val="center"/>
          </w:tcPr>
          <w:p w14:paraId="3958026B">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负责每学期开学前对所有多媒体投影系统、控制系统的一般性故障排除及设备清洁。负责电脑系统的维修、维护、清理及软件安装、更新、重装。每周进行一次全面检查，做好记录，及时排除各种故障，保证会议和教学正常使用，因管理不到位，影响教学楼每间扣0.5分，造成重大事故隐患或事故的一次扣2分。</w:t>
            </w:r>
          </w:p>
        </w:tc>
        <w:tc>
          <w:tcPr>
            <w:tcW w:w="680" w:type="dxa"/>
            <w:vAlign w:val="center"/>
          </w:tcPr>
          <w:p w14:paraId="0278FB2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729C856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6BF47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996" w:type="dxa"/>
            <w:vMerge w:val="restart"/>
            <w:vAlign w:val="center"/>
          </w:tcPr>
          <w:p w14:paraId="2090CD7B">
            <w:pPr>
              <w:wordWrap w:val="0"/>
              <w:spacing w:line="240" w:lineRule="atLeast"/>
              <w:jc w:val="center"/>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设施设备管理与维护</w:t>
            </w:r>
          </w:p>
        </w:tc>
        <w:tc>
          <w:tcPr>
            <w:tcW w:w="5804" w:type="dxa"/>
            <w:vAlign w:val="center"/>
          </w:tcPr>
          <w:p w14:paraId="214FA262">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水电设施设备出现故障时，维修人员未在10分钟内到达现场及时处置；发生电梯困人问题时，协助处理人员未在10分钟内到达现场；消防设施设备出现损坏或失效；每次处扣1分。</w:t>
            </w:r>
          </w:p>
        </w:tc>
        <w:tc>
          <w:tcPr>
            <w:tcW w:w="680" w:type="dxa"/>
            <w:vAlign w:val="center"/>
          </w:tcPr>
          <w:p w14:paraId="011F785E">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27CFD7BF">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771F7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578EAEAF">
            <w:pPr>
              <w:rPr>
                <w:rFonts w:asciiTheme="minorEastAsia" w:hAnsiTheme="minorEastAsia" w:cstheme="minorEastAsia"/>
                <w:sz w:val="18"/>
                <w:szCs w:val="18"/>
                <w:highlight w:val="none"/>
              </w:rPr>
            </w:pPr>
          </w:p>
        </w:tc>
        <w:tc>
          <w:tcPr>
            <w:tcW w:w="5804" w:type="dxa"/>
            <w:vAlign w:val="center"/>
          </w:tcPr>
          <w:p w14:paraId="5AA92838">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不按操作规程操作、使用设施设备，或未及时对设施设备进行保养维护，造成设施设备非正常损坏的，每次扣3分。</w:t>
            </w:r>
          </w:p>
        </w:tc>
        <w:tc>
          <w:tcPr>
            <w:tcW w:w="680" w:type="dxa"/>
            <w:vAlign w:val="center"/>
          </w:tcPr>
          <w:p w14:paraId="00C1A01F">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13F4D165">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11FB6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tcPr>
          <w:p w14:paraId="00797DE9">
            <w:pPr>
              <w:rPr>
                <w:rFonts w:asciiTheme="minorEastAsia" w:hAnsiTheme="minorEastAsia" w:cstheme="minorEastAsia"/>
                <w:sz w:val="18"/>
                <w:szCs w:val="18"/>
                <w:highlight w:val="none"/>
              </w:rPr>
            </w:pPr>
          </w:p>
        </w:tc>
        <w:tc>
          <w:tcPr>
            <w:tcW w:w="5804" w:type="dxa"/>
            <w:vAlign w:val="center"/>
          </w:tcPr>
          <w:p w14:paraId="5AD090D4">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未建立并落实配送电运行制度，电气维修制度和配电房管理制度，24小时运行维修值班等制度，每次每项扣1分。</w:t>
            </w:r>
          </w:p>
        </w:tc>
        <w:tc>
          <w:tcPr>
            <w:tcW w:w="680" w:type="dxa"/>
            <w:vAlign w:val="center"/>
          </w:tcPr>
          <w:p w14:paraId="7DF20039">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0DC8FDF7">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0D9E4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tcPr>
          <w:p w14:paraId="0F52A241">
            <w:pPr>
              <w:rPr>
                <w:rFonts w:asciiTheme="minorEastAsia" w:hAnsiTheme="minorEastAsia" w:cstheme="minorEastAsia"/>
                <w:sz w:val="18"/>
                <w:szCs w:val="18"/>
                <w:highlight w:val="none"/>
              </w:rPr>
            </w:pPr>
          </w:p>
        </w:tc>
        <w:tc>
          <w:tcPr>
            <w:tcW w:w="5804" w:type="dxa"/>
            <w:vAlign w:val="center"/>
          </w:tcPr>
          <w:p w14:paraId="3C7CEF2E">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未按时开关教室门，影响正常教学活动的，每次扣3分；未及时修补第一办公楼、第二办公楼、第三办公楼、第五教学楼、第六教学楼(包括各部门办公室、会议室、实验室)内在1000元以内(单项/件，不累计计算)的水电、土木、公共设施的恢复性维修，每次扣1分。</w:t>
            </w:r>
          </w:p>
        </w:tc>
        <w:tc>
          <w:tcPr>
            <w:tcW w:w="680" w:type="dxa"/>
            <w:vAlign w:val="center"/>
          </w:tcPr>
          <w:p w14:paraId="1496BD23">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0D209E6D">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r w14:paraId="21249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6" w:hRule="atLeast"/>
        </w:trPr>
        <w:tc>
          <w:tcPr>
            <w:tcW w:w="996" w:type="dxa"/>
            <w:vMerge w:val="continue"/>
          </w:tcPr>
          <w:p w14:paraId="6B84F298">
            <w:pPr>
              <w:rPr>
                <w:rFonts w:asciiTheme="minorEastAsia" w:hAnsiTheme="minorEastAsia" w:cstheme="minorEastAsia"/>
                <w:sz w:val="18"/>
                <w:szCs w:val="18"/>
                <w:highlight w:val="none"/>
              </w:rPr>
            </w:pPr>
          </w:p>
        </w:tc>
        <w:tc>
          <w:tcPr>
            <w:tcW w:w="5804" w:type="dxa"/>
            <w:vAlign w:val="center"/>
          </w:tcPr>
          <w:p w14:paraId="141F8FE1">
            <w:pPr>
              <w:wordWrap w:val="0"/>
              <w:spacing w:line="240" w:lineRule="atLeas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对服务区内的外来施工，未建立完善的施工管理制度。发现施工方影响房屋外观、危及房屋结构安全及拆改公共管线等损害公共利益的行为未及时劝阻并报告采购人主管部门的，每项扣2分。</w:t>
            </w:r>
          </w:p>
        </w:tc>
        <w:tc>
          <w:tcPr>
            <w:tcW w:w="680" w:type="dxa"/>
            <w:vAlign w:val="center"/>
          </w:tcPr>
          <w:p w14:paraId="42AF52A4">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c>
          <w:tcPr>
            <w:tcW w:w="680" w:type="dxa"/>
            <w:vAlign w:val="center"/>
          </w:tcPr>
          <w:p w14:paraId="7EFC9014">
            <w:pPr>
              <w:wordWrap w:val="0"/>
              <w:spacing w:line="240" w:lineRule="exact"/>
              <w:textAlignment w:val="baseline"/>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xml:space="preserve"> </w:t>
            </w:r>
          </w:p>
        </w:tc>
      </w:tr>
    </w:tbl>
    <w:p w14:paraId="2DECC461">
      <w:pPr>
        <w:pStyle w:val="8"/>
        <w:rPr>
          <w:rFonts w:asciiTheme="minorEastAsia" w:hAnsiTheme="minorEastAsia"/>
          <w:sz w:val="18"/>
          <w:szCs w:val="18"/>
          <w:highlight w:val="none"/>
        </w:rPr>
      </w:pPr>
    </w:p>
    <w:p w14:paraId="7DD10BB1">
      <w:pPr>
        <w:ind w:firstLine="360" w:firstLineChars="200"/>
        <w:jc w:val="center"/>
        <w:rPr>
          <w:rFonts w:asciiTheme="minorEastAsia" w:hAnsiTheme="minorEastAsia"/>
          <w:color w:val="000000" w:themeColor="text1"/>
          <w:sz w:val="18"/>
          <w:szCs w:val="18"/>
          <w:highlight w:val="none"/>
          <w14:textFill>
            <w14:solidFill>
              <w14:schemeClr w14:val="tx1"/>
            </w14:solidFill>
          </w14:textFill>
        </w:rPr>
      </w:pPr>
      <w:r>
        <w:rPr>
          <w:rFonts w:asciiTheme="minorEastAsia" w:hAnsiTheme="minorEastAsia"/>
          <w:color w:val="000000" w:themeColor="text1"/>
          <w:sz w:val="18"/>
          <w:szCs w:val="18"/>
          <w:highlight w:val="none"/>
          <w14:textFill>
            <w14:solidFill>
              <w14:schemeClr w14:val="tx1"/>
            </w14:solidFill>
          </w14:textFill>
        </w:rPr>
        <w:t xml:space="preserve">表6  </w:t>
      </w:r>
      <w:r>
        <w:rPr>
          <w:rFonts w:hint="eastAsia" w:asciiTheme="minorEastAsia" w:hAnsiTheme="minorEastAsia"/>
          <w:color w:val="000000" w:themeColor="text1"/>
          <w:sz w:val="18"/>
          <w:szCs w:val="18"/>
          <w:highlight w:val="none"/>
          <w14:textFill>
            <w14:solidFill>
              <w14:schemeClr w14:val="tx1"/>
            </w14:solidFill>
          </w14:textFill>
        </w:rPr>
        <w:t>师生投诉扣分标准</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37"/>
        <w:gridCol w:w="709"/>
        <w:gridCol w:w="709"/>
      </w:tblGrid>
      <w:tr w14:paraId="2CF6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67" w:type="dxa"/>
            <w:shd w:val="clear" w:color="auto" w:fill="auto"/>
            <w:vAlign w:val="center"/>
          </w:tcPr>
          <w:p w14:paraId="0D3D3525">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项目</w:t>
            </w:r>
          </w:p>
        </w:tc>
        <w:tc>
          <w:tcPr>
            <w:tcW w:w="5837" w:type="dxa"/>
            <w:vAlign w:val="center"/>
          </w:tcPr>
          <w:p w14:paraId="289E0EDD">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减分内容及扣分标准</w:t>
            </w:r>
          </w:p>
        </w:tc>
        <w:tc>
          <w:tcPr>
            <w:tcW w:w="709" w:type="dxa"/>
            <w:vAlign w:val="center"/>
          </w:tcPr>
          <w:p w14:paraId="77326840">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减分</w:t>
            </w:r>
          </w:p>
        </w:tc>
        <w:tc>
          <w:tcPr>
            <w:tcW w:w="709" w:type="dxa"/>
            <w:vAlign w:val="center"/>
          </w:tcPr>
          <w:p w14:paraId="40B4E58B">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备注</w:t>
            </w:r>
          </w:p>
        </w:tc>
      </w:tr>
      <w:tr w14:paraId="7D4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restart"/>
            <w:shd w:val="clear" w:color="auto" w:fill="auto"/>
            <w:vAlign w:val="center"/>
          </w:tcPr>
          <w:p w14:paraId="3D225FF1">
            <w:pPr>
              <w:wordWrap w:val="0"/>
              <w:spacing w:line="460" w:lineRule="atLeast"/>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师生投诉</w:t>
            </w:r>
          </w:p>
        </w:tc>
        <w:tc>
          <w:tcPr>
            <w:tcW w:w="5837" w:type="dxa"/>
            <w:vAlign w:val="center"/>
          </w:tcPr>
          <w:p w14:paraId="18571479">
            <w:pPr>
              <w:wordWrap w:val="0"/>
              <w:jc w:val="left"/>
              <w:textAlignment w:val="baseline"/>
              <w:rPr>
                <w:rFonts w:cs="宋体" w:asciiTheme="minorEastAsia" w:hAnsiTheme="minorEastAsia"/>
                <w:sz w:val="18"/>
                <w:szCs w:val="18"/>
                <w:highlight w:val="none"/>
              </w:rPr>
            </w:pPr>
            <w:r>
              <w:rPr>
                <w:rFonts w:hint="eastAsia" w:asciiTheme="minorEastAsia" w:hAnsiTheme="minorEastAsia" w:cstheme="minorEastAsia"/>
                <w:sz w:val="18"/>
                <w:szCs w:val="18"/>
                <w:highlight w:val="none"/>
              </w:rPr>
              <w:t>服务态度差，用语不文明、不规范，被服务对象投诉，每投诉一次扣2分。</w:t>
            </w:r>
          </w:p>
        </w:tc>
        <w:tc>
          <w:tcPr>
            <w:tcW w:w="709" w:type="dxa"/>
            <w:vAlign w:val="center"/>
          </w:tcPr>
          <w:p w14:paraId="791787E1">
            <w:pPr>
              <w:wordWrap w:val="0"/>
              <w:spacing w:line="460" w:lineRule="atLeast"/>
              <w:jc w:val="left"/>
              <w:textAlignment w:val="baseline"/>
              <w:rPr>
                <w:rFonts w:cs="宋体" w:asciiTheme="minorEastAsia" w:hAnsiTheme="minorEastAsia"/>
                <w:sz w:val="18"/>
                <w:szCs w:val="18"/>
                <w:highlight w:val="none"/>
              </w:rPr>
            </w:pPr>
          </w:p>
        </w:tc>
        <w:tc>
          <w:tcPr>
            <w:tcW w:w="709" w:type="dxa"/>
            <w:vAlign w:val="center"/>
          </w:tcPr>
          <w:p w14:paraId="2E01FC60">
            <w:pPr>
              <w:wordWrap w:val="0"/>
              <w:spacing w:line="460" w:lineRule="atLeast"/>
              <w:jc w:val="left"/>
              <w:textAlignment w:val="baseline"/>
              <w:rPr>
                <w:rFonts w:cs="宋体" w:asciiTheme="minorEastAsia" w:hAnsiTheme="minorEastAsia"/>
                <w:sz w:val="18"/>
                <w:szCs w:val="18"/>
                <w:highlight w:val="none"/>
              </w:rPr>
            </w:pPr>
          </w:p>
        </w:tc>
      </w:tr>
      <w:tr w14:paraId="16CE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continue"/>
            <w:shd w:val="clear" w:color="auto" w:fill="auto"/>
            <w:vAlign w:val="center"/>
          </w:tcPr>
          <w:p w14:paraId="1072C9D4">
            <w:pPr>
              <w:wordWrap w:val="0"/>
              <w:spacing w:line="460" w:lineRule="atLeast"/>
              <w:jc w:val="left"/>
              <w:textAlignment w:val="baseline"/>
              <w:rPr>
                <w:rFonts w:cs="宋体" w:asciiTheme="minorEastAsia" w:hAnsiTheme="minorEastAsia"/>
                <w:sz w:val="18"/>
                <w:szCs w:val="18"/>
                <w:highlight w:val="none"/>
              </w:rPr>
            </w:pPr>
          </w:p>
        </w:tc>
        <w:tc>
          <w:tcPr>
            <w:tcW w:w="5837" w:type="dxa"/>
            <w:vAlign w:val="center"/>
          </w:tcPr>
          <w:p w14:paraId="66C52A52">
            <w:pPr>
              <w:wordWrap w:val="0"/>
              <w:jc w:val="left"/>
              <w:textAlignment w:val="baseline"/>
              <w:rPr>
                <w:rFonts w:cs="宋体" w:asciiTheme="minorEastAsia" w:hAnsiTheme="minorEastAsia"/>
                <w:sz w:val="18"/>
                <w:szCs w:val="18"/>
                <w:highlight w:val="none"/>
              </w:rPr>
            </w:pPr>
            <w:r>
              <w:rPr>
                <w:rFonts w:hint="eastAsia" w:cs="宋体" w:asciiTheme="minorEastAsia" w:hAnsiTheme="minorEastAsia"/>
                <w:sz w:val="18"/>
                <w:szCs w:val="18"/>
                <w:highlight w:val="none"/>
              </w:rPr>
              <w:t>卫生保洁、秩序维护、接待服务、多媒体管理、维修等</w:t>
            </w:r>
            <w:r>
              <w:rPr>
                <w:rFonts w:cs="宋体" w:asciiTheme="minorEastAsia" w:hAnsiTheme="minorEastAsia"/>
                <w:sz w:val="18"/>
                <w:szCs w:val="18"/>
                <w:highlight w:val="none"/>
              </w:rPr>
              <w:t>保障不及时、不到位，服务质量差，受到投诉，每次扣2分。</w:t>
            </w:r>
          </w:p>
        </w:tc>
        <w:tc>
          <w:tcPr>
            <w:tcW w:w="709" w:type="dxa"/>
            <w:vAlign w:val="center"/>
          </w:tcPr>
          <w:p w14:paraId="1A7DECD6">
            <w:pPr>
              <w:wordWrap w:val="0"/>
              <w:spacing w:line="460" w:lineRule="atLeast"/>
              <w:jc w:val="left"/>
              <w:textAlignment w:val="baseline"/>
              <w:rPr>
                <w:rFonts w:cs="宋体" w:asciiTheme="minorEastAsia" w:hAnsiTheme="minorEastAsia"/>
                <w:sz w:val="18"/>
                <w:szCs w:val="18"/>
                <w:highlight w:val="none"/>
              </w:rPr>
            </w:pPr>
          </w:p>
        </w:tc>
        <w:tc>
          <w:tcPr>
            <w:tcW w:w="709" w:type="dxa"/>
            <w:vAlign w:val="center"/>
          </w:tcPr>
          <w:p w14:paraId="0FD139C1">
            <w:pPr>
              <w:wordWrap w:val="0"/>
              <w:spacing w:line="460" w:lineRule="atLeast"/>
              <w:jc w:val="left"/>
              <w:textAlignment w:val="baseline"/>
              <w:rPr>
                <w:rFonts w:cs="宋体" w:asciiTheme="minorEastAsia" w:hAnsiTheme="minorEastAsia"/>
                <w:sz w:val="18"/>
                <w:szCs w:val="18"/>
                <w:highlight w:val="none"/>
              </w:rPr>
            </w:pPr>
          </w:p>
        </w:tc>
      </w:tr>
      <w:tr w14:paraId="4A8E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67" w:type="dxa"/>
            <w:vMerge w:val="continue"/>
            <w:shd w:val="clear" w:color="auto" w:fill="auto"/>
            <w:vAlign w:val="center"/>
          </w:tcPr>
          <w:p w14:paraId="593ECBE1">
            <w:pPr>
              <w:wordWrap w:val="0"/>
              <w:spacing w:line="460" w:lineRule="atLeast"/>
              <w:jc w:val="left"/>
              <w:textAlignment w:val="baseline"/>
              <w:rPr>
                <w:rFonts w:cs="宋体" w:asciiTheme="minorEastAsia" w:hAnsiTheme="minorEastAsia"/>
                <w:sz w:val="18"/>
                <w:szCs w:val="18"/>
                <w:highlight w:val="none"/>
              </w:rPr>
            </w:pPr>
          </w:p>
        </w:tc>
        <w:tc>
          <w:tcPr>
            <w:tcW w:w="5837" w:type="dxa"/>
            <w:vAlign w:val="center"/>
          </w:tcPr>
          <w:p w14:paraId="26AA2B45">
            <w:pPr>
              <w:wordWrap w:val="0"/>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师生其他投诉(含网上曝光)，</w:t>
            </w:r>
            <w:r>
              <w:rPr>
                <w:rFonts w:cs="宋体" w:asciiTheme="minorEastAsia" w:hAnsiTheme="minorEastAsia"/>
                <w:sz w:val="18"/>
                <w:szCs w:val="18"/>
                <w:highlight w:val="none"/>
                <w:em w:val="dot"/>
              </w:rPr>
              <w:t>经</w:t>
            </w:r>
            <w:r>
              <w:rPr>
                <w:rFonts w:cs="宋体" w:asciiTheme="minorEastAsia" w:hAnsiTheme="minorEastAsia"/>
                <w:sz w:val="18"/>
                <w:szCs w:val="18"/>
                <w:highlight w:val="none"/>
              </w:rPr>
              <w:t>双方现场核查，投诉属实的一次扣2分。</w:t>
            </w:r>
          </w:p>
        </w:tc>
        <w:tc>
          <w:tcPr>
            <w:tcW w:w="709" w:type="dxa"/>
            <w:vAlign w:val="center"/>
          </w:tcPr>
          <w:p w14:paraId="3F1248E3">
            <w:pPr>
              <w:wordWrap w:val="0"/>
              <w:spacing w:line="460" w:lineRule="atLeast"/>
              <w:jc w:val="left"/>
              <w:textAlignment w:val="baseline"/>
              <w:rPr>
                <w:rFonts w:cs="宋体" w:asciiTheme="minorEastAsia" w:hAnsiTheme="minorEastAsia"/>
                <w:sz w:val="18"/>
                <w:szCs w:val="18"/>
                <w:highlight w:val="none"/>
              </w:rPr>
            </w:pPr>
          </w:p>
        </w:tc>
        <w:tc>
          <w:tcPr>
            <w:tcW w:w="709" w:type="dxa"/>
            <w:vAlign w:val="center"/>
          </w:tcPr>
          <w:p w14:paraId="60B6F012">
            <w:pPr>
              <w:wordWrap w:val="0"/>
              <w:spacing w:line="460" w:lineRule="atLeast"/>
              <w:jc w:val="left"/>
              <w:textAlignment w:val="baseline"/>
              <w:rPr>
                <w:rFonts w:cs="宋体" w:asciiTheme="minorEastAsia" w:hAnsiTheme="minorEastAsia"/>
                <w:sz w:val="18"/>
                <w:szCs w:val="18"/>
                <w:highlight w:val="none"/>
              </w:rPr>
            </w:pPr>
          </w:p>
        </w:tc>
      </w:tr>
    </w:tbl>
    <w:p w14:paraId="6C1AB8E3">
      <w:pPr>
        <w:pStyle w:val="8"/>
        <w:rPr>
          <w:rFonts w:asciiTheme="minorEastAsia" w:hAnsiTheme="minorEastAsia"/>
          <w:sz w:val="18"/>
          <w:szCs w:val="18"/>
          <w:highlight w:val="none"/>
        </w:rPr>
      </w:pPr>
    </w:p>
    <w:p w14:paraId="24EDF3EC">
      <w:pPr>
        <w:ind w:firstLine="360" w:firstLineChars="200"/>
        <w:jc w:val="center"/>
        <w:rPr>
          <w:rFonts w:asciiTheme="minorEastAsia" w:hAnsiTheme="minorEastAsia"/>
          <w:color w:val="000000" w:themeColor="text1"/>
          <w:sz w:val="18"/>
          <w:szCs w:val="18"/>
          <w:highlight w:val="none"/>
          <w14:textFill>
            <w14:solidFill>
              <w14:schemeClr w14:val="tx1"/>
            </w14:solidFill>
          </w14:textFill>
        </w:rPr>
      </w:pPr>
      <w:r>
        <w:rPr>
          <w:rFonts w:asciiTheme="minorEastAsia" w:hAnsiTheme="minorEastAsia"/>
          <w:color w:val="000000" w:themeColor="text1"/>
          <w:sz w:val="18"/>
          <w:szCs w:val="18"/>
          <w:highlight w:val="none"/>
          <w14:textFill>
            <w14:solidFill>
              <w14:schemeClr w14:val="tx1"/>
            </w14:solidFill>
          </w14:textFill>
        </w:rPr>
        <w:t xml:space="preserve">表7  </w:t>
      </w:r>
      <w:r>
        <w:rPr>
          <w:rFonts w:hint="eastAsia" w:asciiTheme="minorEastAsia" w:hAnsiTheme="minorEastAsia"/>
          <w:color w:val="000000" w:themeColor="text1"/>
          <w:sz w:val="18"/>
          <w:szCs w:val="18"/>
          <w:highlight w:val="none"/>
          <w14:textFill>
            <w14:solidFill>
              <w14:schemeClr w14:val="tx1"/>
            </w14:solidFill>
          </w14:textFill>
        </w:rPr>
        <w:t>加分标准</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112"/>
        <w:gridCol w:w="850"/>
        <w:gridCol w:w="1276"/>
      </w:tblGrid>
      <w:tr w14:paraId="7C3D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shd w:val="clear" w:color="auto" w:fill="auto"/>
            <w:vAlign w:val="center"/>
          </w:tcPr>
          <w:p w14:paraId="669AD594">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项目</w:t>
            </w:r>
          </w:p>
        </w:tc>
        <w:tc>
          <w:tcPr>
            <w:tcW w:w="5112" w:type="dxa"/>
            <w:vAlign w:val="center"/>
          </w:tcPr>
          <w:p w14:paraId="0D46B247">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加</w:t>
            </w:r>
            <w:r>
              <w:rPr>
                <w:rFonts w:asciiTheme="minorEastAsia" w:hAnsiTheme="minorEastAsia" w:cstheme="minorEastAsia"/>
                <w:bCs/>
                <w:sz w:val="18"/>
                <w:szCs w:val="18"/>
                <w:highlight w:val="none"/>
              </w:rPr>
              <w:t>分内容及</w:t>
            </w:r>
            <w:r>
              <w:rPr>
                <w:rFonts w:hint="eastAsia" w:asciiTheme="minorEastAsia" w:hAnsiTheme="minorEastAsia" w:cstheme="minorEastAsia"/>
                <w:bCs/>
                <w:sz w:val="18"/>
                <w:szCs w:val="18"/>
                <w:highlight w:val="none"/>
              </w:rPr>
              <w:t>加</w:t>
            </w:r>
            <w:r>
              <w:rPr>
                <w:rFonts w:asciiTheme="minorEastAsia" w:hAnsiTheme="minorEastAsia" w:cstheme="minorEastAsia"/>
                <w:bCs/>
                <w:sz w:val="18"/>
                <w:szCs w:val="18"/>
                <w:highlight w:val="none"/>
              </w:rPr>
              <w:t>分标准</w:t>
            </w:r>
          </w:p>
        </w:tc>
        <w:tc>
          <w:tcPr>
            <w:tcW w:w="850" w:type="dxa"/>
            <w:vAlign w:val="center"/>
          </w:tcPr>
          <w:p w14:paraId="13A23D90">
            <w:pPr>
              <w:wordWrap w:val="0"/>
              <w:spacing w:line="240" w:lineRule="atLeast"/>
              <w:jc w:val="center"/>
              <w:textAlignment w:val="baseline"/>
              <w:rPr>
                <w:rFonts w:asciiTheme="minorEastAsia" w:hAnsiTheme="minorEastAsia" w:cstheme="minorEastAsia"/>
                <w:bCs/>
                <w:sz w:val="18"/>
                <w:szCs w:val="18"/>
                <w:highlight w:val="none"/>
              </w:rPr>
            </w:pPr>
            <w:r>
              <w:rPr>
                <w:rFonts w:hint="eastAsia" w:asciiTheme="minorEastAsia" w:hAnsiTheme="minorEastAsia" w:cstheme="minorEastAsia"/>
                <w:bCs/>
                <w:sz w:val="18"/>
                <w:szCs w:val="18"/>
                <w:highlight w:val="none"/>
              </w:rPr>
              <w:t>加</w:t>
            </w:r>
            <w:r>
              <w:rPr>
                <w:rFonts w:asciiTheme="minorEastAsia" w:hAnsiTheme="minorEastAsia" w:cstheme="minorEastAsia"/>
                <w:bCs/>
                <w:sz w:val="18"/>
                <w:szCs w:val="18"/>
                <w:highlight w:val="none"/>
              </w:rPr>
              <w:t>分</w:t>
            </w:r>
          </w:p>
        </w:tc>
        <w:tc>
          <w:tcPr>
            <w:tcW w:w="1276" w:type="dxa"/>
            <w:vAlign w:val="center"/>
          </w:tcPr>
          <w:p w14:paraId="097EE372">
            <w:pPr>
              <w:wordWrap w:val="0"/>
              <w:spacing w:line="240" w:lineRule="atLeast"/>
              <w:jc w:val="center"/>
              <w:textAlignment w:val="baseline"/>
              <w:rPr>
                <w:rFonts w:asciiTheme="minorEastAsia" w:hAnsiTheme="minorEastAsia" w:cstheme="minorEastAsia"/>
                <w:bCs/>
                <w:sz w:val="18"/>
                <w:szCs w:val="18"/>
                <w:highlight w:val="none"/>
              </w:rPr>
            </w:pPr>
            <w:r>
              <w:rPr>
                <w:rFonts w:asciiTheme="minorEastAsia" w:hAnsiTheme="minorEastAsia" w:cstheme="minorEastAsia"/>
                <w:bCs/>
                <w:sz w:val="18"/>
                <w:szCs w:val="18"/>
                <w:highlight w:val="none"/>
              </w:rPr>
              <w:t>备注</w:t>
            </w:r>
          </w:p>
        </w:tc>
      </w:tr>
      <w:tr w14:paraId="5BAC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shd w:val="clear" w:color="auto" w:fill="auto"/>
            <w:vAlign w:val="center"/>
          </w:tcPr>
          <w:p w14:paraId="4EBD6342">
            <w:pPr>
              <w:wordWrap w:val="0"/>
              <w:spacing w:line="460" w:lineRule="atLeast"/>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加分项</w:t>
            </w:r>
          </w:p>
        </w:tc>
        <w:tc>
          <w:tcPr>
            <w:tcW w:w="5112" w:type="dxa"/>
            <w:vAlign w:val="center"/>
          </w:tcPr>
          <w:p w14:paraId="5D3B8E84">
            <w:pPr>
              <w:wordWrap w:val="0"/>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出色完成重大项活动、或迎检工作的后勤服务保障任务，受到校领导或其他领导表扬，每次加2分。</w:t>
            </w:r>
          </w:p>
        </w:tc>
        <w:tc>
          <w:tcPr>
            <w:tcW w:w="850" w:type="dxa"/>
            <w:vAlign w:val="center"/>
          </w:tcPr>
          <w:p w14:paraId="7B80CA9E">
            <w:pPr>
              <w:wordWrap w:val="0"/>
              <w:spacing w:line="460" w:lineRule="atLeast"/>
              <w:jc w:val="left"/>
              <w:textAlignment w:val="baseline"/>
              <w:rPr>
                <w:rFonts w:cs="宋体" w:asciiTheme="minorEastAsia" w:hAnsiTheme="minorEastAsia"/>
                <w:sz w:val="18"/>
                <w:szCs w:val="18"/>
                <w:highlight w:val="none"/>
              </w:rPr>
            </w:pPr>
          </w:p>
        </w:tc>
        <w:tc>
          <w:tcPr>
            <w:tcW w:w="1276" w:type="dxa"/>
            <w:vMerge w:val="restart"/>
            <w:vAlign w:val="center"/>
          </w:tcPr>
          <w:p w14:paraId="6F91B58A">
            <w:pPr>
              <w:spacing w:line="260" w:lineRule="atLeast"/>
              <w:jc w:val="left"/>
              <w:textAlignment w:val="baseline"/>
              <w:rPr>
                <w:rFonts w:asciiTheme="minorEastAsia" w:hAnsiTheme="minorEastAsia"/>
                <w:sz w:val="18"/>
                <w:szCs w:val="18"/>
                <w:highlight w:val="none"/>
              </w:rPr>
            </w:pPr>
            <w:r>
              <w:rPr>
                <w:rFonts w:cs="宋体" w:asciiTheme="minorEastAsia" w:hAnsiTheme="minorEastAsia"/>
                <w:sz w:val="18"/>
                <w:szCs w:val="18"/>
                <w:highlight w:val="none"/>
              </w:rPr>
              <w:t>(此项</w:t>
            </w:r>
            <w:r>
              <w:rPr>
                <w:rFonts w:hint="eastAsia" w:cs="宋体" w:asciiTheme="minorEastAsia" w:hAnsiTheme="minorEastAsia"/>
                <w:sz w:val="18"/>
                <w:szCs w:val="18"/>
                <w:highlight w:val="none"/>
              </w:rPr>
              <w:t>每月</w:t>
            </w:r>
            <w:r>
              <w:rPr>
                <w:rFonts w:cs="宋体" w:asciiTheme="minorEastAsia" w:hAnsiTheme="minorEastAsia"/>
                <w:sz w:val="18"/>
                <w:szCs w:val="18"/>
                <w:highlight w:val="none"/>
              </w:rPr>
              <w:t>最</w:t>
            </w:r>
          </w:p>
          <w:p w14:paraId="721FC549">
            <w:pPr>
              <w:wordWrap w:val="0"/>
              <w:spacing w:line="260" w:lineRule="atLeast"/>
              <w:jc w:val="left"/>
              <w:textAlignment w:val="baseline"/>
              <w:rPr>
                <w:rFonts w:asciiTheme="minorEastAsia" w:hAnsiTheme="minorEastAsia"/>
                <w:sz w:val="18"/>
                <w:szCs w:val="18"/>
                <w:highlight w:val="none"/>
              </w:rPr>
            </w:pPr>
            <w:r>
              <w:rPr>
                <w:rFonts w:cs="宋体" w:asciiTheme="minorEastAsia" w:hAnsiTheme="minorEastAsia"/>
                <w:sz w:val="18"/>
                <w:szCs w:val="18"/>
                <w:highlight w:val="none"/>
              </w:rPr>
              <w:t>多</w:t>
            </w:r>
            <w:r>
              <w:rPr>
                <w:rFonts w:hint="eastAsia" w:cs="宋体" w:asciiTheme="minorEastAsia" w:hAnsiTheme="minorEastAsia"/>
                <w:sz w:val="18"/>
                <w:szCs w:val="18"/>
                <w:highlight w:val="none"/>
              </w:rPr>
              <w:t>加</w:t>
            </w:r>
            <w:r>
              <w:rPr>
                <w:rFonts w:cs="宋体" w:asciiTheme="minorEastAsia" w:hAnsiTheme="minorEastAsia"/>
                <w:sz w:val="18"/>
                <w:szCs w:val="18"/>
                <w:highlight w:val="none"/>
              </w:rPr>
              <w:t>10分)</w:t>
            </w:r>
          </w:p>
        </w:tc>
      </w:tr>
      <w:tr w14:paraId="7A1C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46FEDEDF">
            <w:pPr>
              <w:wordWrap w:val="0"/>
              <w:spacing w:line="460" w:lineRule="atLeast"/>
              <w:jc w:val="left"/>
              <w:textAlignment w:val="baseline"/>
              <w:rPr>
                <w:rFonts w:cs="宋体" w:asciiTheme="minorEastAsia" w:hAnsiTheme="minorEastAsia"/>
                <w:sz w:val="18"/>
                <w:szCs w:val="18"/>
                <w:highlight w:val="none"/>
              </w:rPr>
            </w:pPr>
          </w:p>
        </w:tc>
        <w:tc>
          <w:tcPr>
            <w:tcW w:w="5112" w:type="dxa"/>
            <w:vAlign w:val="center"/>
          </w:tcPr>
          <w:p w14:paraId="3BC38C11">
            <w:pPr>
              <w:wordWrap w:val="0"/>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突发意外事故时，中标人果断正确处置，为采购人避免或显著减少事故损失和影响，每次加5分。</w:t>
            </w:r>
          </w:p>
        </w:tc>
        <w:tc>
          <w:tcPr>
            <w:tcW w:w="850" w:type="dxa"/>
          </w:tcPr>
          <w:p w14:paraId="4F58E91F">
            <w:pPr>
              <w:wordWrap w:val="0"/>
              <w:spacing w:line="460" w:lineRule="atLeast"/>
              <w:jc w:val="left"/>
              <w:textAlignment w:val="baseline"/>
              <w:rPr>
                <w:rFonts w:cs="宋体" w:asciiTheme="minorEastAsia" w:hAnsiTheme="minorEastAsia"/>
                <w:sz w:val="18"/>
                <w:szCs w:val="18"/>
                <w:highlight w:val="none"/>
              </w:rPr>
            </w:pPr>
          </w:p>
        </w:tc>
        <w:tc>
          <w:tcPr>
            <w:tcW w:w="1276" w:type="dxa"/>
            <w:vMerge w:val="continue"/>
            <w:vAlign w:val="center"/>
          </w:tcPr>
          <w:p w14:paraId="7AC0D910">
            <w:pPr>
              <w:wordWrap w:val="0"/>
              <w:spacing w:line="460" w:lineRule="atLeast"/>
              <w:jc w:val="left"/>
              <w:textAlignment w:val="baseline"/>
              <w:rPr>
                <w:rFonts w:cs="宋体" w:asciiTheme="minorEastAsia" w:hAnsiTheme="minorEastAsia"/>
                <w:sz w:val="18"/>
                <w:szCs w:val="18"/>
                <w:highlight w:val="none"/>
              </w:rPr>
            </w:pPr>
          </w:p>
        </w:tc>
      </w:tr>
      <w:tr w14:paraId="1588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71BFF336">
            <w:pPr>
              <w:wordWrap w:val="0"/>
              <w:spacing w:line="460" w:lineRule="atLeast"/>
              <w:jc w:val="left"/>
              <w:textAlignment w:val="baseline"/>
              <w:rPr>
                <w:rFonts w:cs="宋体" w:asciiTheme="minorEastAsia" w:hAnsiTheme="minorEastAsia"/>
                <w:sz w:val="18"/>
                <w:szCs w:val="18"/>
                <w:highlight w:val="none"/>
              </w:rPr>
            </w:pPr>
          </w:p>
        </w:tc>
        <w:tc>
          <w:tcPr>
            <w:tcW w:w="5112" w:type="dxa"/>
            <w:vAlign w:val="center"/>
          </w:tcPr>
          <w:p w14:paraId="74AF55A8">
            <w:pPr>
              <w:wordWrap w:val="0"/>
              <w:jc w:val="left"/>
              <w:textAlignment w:val="baseline"/>
              <w:rPr>
                <w:rFonts w:cs="宋体" w:asciiTheme="minorEastAsia" w:hAnsiTheme="minorEastAsia"/>
                <w:sz w:val="18"/>
                <w:szCs w:val="18"/>
                <w:highlight w:val="none"/>
              </w:rPr>
            </w:pPr>
            <w:r>
              <w:rPr>
                <w:rFonts w:cs="宋体" w:asciiTheme="minorEastAsia" w:hAnsiTheme="minorEastAsia"/>
                <w:sz w:val="18"/>
                <w:szCs w:val="18"/>
                <w:highlight w:val="none"/>
              </w:rPr>
              <w:t>中标人员工有好人好事行为，每次加1分。</w:t>
            </w:r>
          </w:p>
        </w:tc>
        <w:tc>
          <w:tcPr>
            <w:tcW w:w="850" w:type="dxa"/>
          </w:tcPr>
          <w:p w14:paraId="46706992">
            <w:pPr>
              <w:wordWrap w:val="0"/>
              <w:spacing w:line="460" w:lineRule="atLeast"/>
              <w:jc w:val="left"/>
              <w:textAlignment w:val="baseline"/>
              <w:rPr>
                <w:rFonts w:cs="宋体" w:asciiTheme="minorEastAsia" w:hAnsiTheme="minorEastAsia"/>
                <w:sz w:val="18"/>
                <w:szCs w:val="18"/>
                <w:highlight w:val="none"/>
              </w:rPr>
            </w:pPr>
          </w:p>
        </w:tc>
        <w:tc>
          <w:tcPr>
            <w:tcW w:w="1276" w:type="dxa"/>
            <w:vMerge w:val="continue"/>
            <w:vAlign w:val="center"/>
          </w:tcPr>
          <w:p w14:paraId="40282B07">
            <w:pPr>
              <w:wordWrap w:val="0"/>
              <w:spacing w:line="460" w:lineRule="atLeast"/>
              <w:jc w:val="left"/>
              <w:textAlignment w:val="baseline"/>
              <w:rPr>
                <w:rFonts w:cs="宋体" w:asciiTheme="minorEastAsia" w:hAnsiTheme="minorEastAsia"/>
                <w:sz w:val="18"/>
                <w:szCs w:val="18"/>
                <w:highlight w:val="none"/>
              </w:rPr>
            </w:pPr>
          </w:p>
        </w:tc>
      </w:tr>
    </w:tbl>
    <w:p w14:paraId="76015669">
      <w:pPr>
        <w:spacing w:line="360" w:lineRule="auto"/>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3.11.3考核结果运用</w:t>
      </w:r>
    </w:p>
    <w:p w14:paraId="2569BEA6">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月度考评分数为85分及以上视为合格；成绩在85分以下视为月度考核不合格，采购人则在当月物业服务费中扣除相应违约金：得分80-84分，每分扣除物业服务费1000元；70-79分，每分扣除物业服务费2000元；60-69分，每分扣除物业服务费3000元。60分以下，视为中标人违约，采购人一次性从当月物业服务费中扣除50000元(伍万元整)，同时解除合同，扣除全部履约保证金。</w:t>
      </w:r>
    </w:p>
    <w:p w14:paraId="67FA3D1D">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出现以下情况之一者，采购人有权提前终止合同，扣除全部履约保证金，并追究中标人法律或经济责任。</w:t>
      </w:r>
    </w:p>
    <w:p w14:paraId="02C2108D">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）中标人一年内三次月度考评分数未达到85分。</w:t>
      </w:r>
    </w:p>
    <w:p w14:paraId="5E143ADC">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）卫生保洁、秩序维护、客服接待、多媒体管理、绿化养护、维修服务等工作中出现重大责任事故，严重影响采购人正常教学科研工作秩序的。</w:t>
      </w:r>
    </w:p>
    <w:p w14:paraId="6D9C9E66">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）因管理责任造成国有资产巨额损失、人员伤亡等重、特大安全责任事故的。</w:t>
      </w:r>
    </w:p>
    <w:p w14:paraId="7E72AD1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）因管理责任导致出现群体性公共安全事件的，严重影响采购人声誉的或造成采购人损失的。</w:t>
      </w:r>
    </w:p>
    <w:p w14:paraId="47FA69AC">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）其他经过采购人或政府部门认定的责任事故。</w:t>
      </w:r>
    </w:p>
    <w:p w14:paraId="37235485">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）工作中发生重、特大责任事故，经有关部门认定，视情况追究相关人员的刑事及民事责任的。</w:t>
      </w:r>
    </w:p>
    <w:p w14:paraId="55C7BD28">
      <w:pPr>
        <w:spacing w:line="360" w:lineRule="auto"/>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3.11.4</w:t>
      </w:r>
      <w:r>
        <w:rPr>
          <w:rFonts w:hint="eastAsia" w:ascii="宋体" w:hAnsi="宋体" w:eastAsia="宋体" w:cs="宋体"/>
          <w:b/>
          <w:color w:val="000000" w:themeColor="text1"/>
          <w:sz w:val="24"/>
          <w:szCs w:val="24"/>
          <w:highlight w:val="none"/>
          <w14:textFill>
            <w14:solidFill>
              <w14:schemeClr w14:val="tx1"/>
            </w14:solidFill>
          </w14:textFill>
        </w:rPr>
        <w:t>满意度调查</w:t>
      </w:r>
    </w:p>
    <w:p w14:paraId="4C27836B">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满意度调查每学期进行一次（6月、12月）。采购人每学期进行一次物业管理服务满意度调查，随机抽取150名以上的教职工和学生填写“满意度调查表”。满意度调查分为非常满意100分、满意90分、基本满意80分和不满意50分四种标准，取平均分为本项考核得分。</w:t>
      </w:r>
    </w:p>
    <w:p w14:paraId="2DE07A8A">
      <w:pPr>
        <w:adjustRightInd w:val="0"/>
        <w:spacing w:line="560" w:lineRule="exact"/>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2025年12月满意度低于92分时，采购人向中标人提出警示，并扣除服务费2000元，中标人积极整改以提高顾客满意；2026年6月满意度低于92分时，扣除服务费5000元。</w:t>
      </w:r>
    </w:p>
    <w:p w14:paraId="6CCDA6D9">
      <w:pPr>
        <w:pStyle w:val="8"/>
        <w:spacing w:before="312" w:beforeLines="100" w:after="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4 、报价及要求</w:t>
      </w:r>
    </w:p>
    <w:p w14:paraId="55B767AD">
      <w:pPr>
        <w:spacing w:line="560" w:lineRule="exact"/>
        <w:ind w:firstLine="495"/>
        <w:rPr>
          <w:rFonts w:ascii="宋体"/>
          <w:bCs/>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4.1</w:t>
      </w:r>
      <w:r>
        <w:rPr>
          <w:rFonts w:hint="eastAsia" w:ascii="宋体"/>
          <w:bCs/>
          <w:color w:val="000000" w:themeColor="text1"/>
          <w:sz w:val="24"/>
          <w:highlight w:val="none"/>
          <w14:textFill>
            <w14:solidFill>
              <w14:schemeClr w14:val="tx1"/>
            </w14:solidFill>
          </w14:textFill>
        </w:rPr>
        <w:t>报价</w:t>
      </w:r>
      <w:r>
        <w:rPr>
          <w:rFonts w:ascii="宋体"/>
          <w:bCs/>
          <w:color w:val="000000" w:themeColor="text1"/>
          <w:sz w:val="24"/>
          <w:highlight w:val="none"/>
          <w14:textFill>
            <w14:solidFill>
              <w14:schemeClr w14:val="tx1"/>
            </w14:solidFill>
          </w14:textFill>
        </w:rPr>
        <w:t>超过控制价，报价无效。</w:t>
      </w:r>
    </w:p>
    <w:p w14:paraId="2B146243">
      <w:pPr>
        <w:spacing w:line="560" w:lineRule="exact"/>
        <w:ind w:firstLine="482" w:firstLineChars="200"/>
        <w:textAlignment w:val="baseline"/>
        <w:rPr>
          <w:rFonts w:asciiTheme="minorEastAsia" w:hAnsiTheme="minorEastAsia" w:cstheme="minorEastAsia"/>
          <w:sz w:val="24"/>
          <w:highlight w:val="none"/>
        </w:rPr>
      </w:pPr>
      <w:bookmarkStart w:id="29" w:name="_Hlk101826969"/>
      <w:r>
        <w:rPr>
          <w:rFonts w:hint="eastAsia" w:ascii="宋体" w:hAnsi="宋体"/>
          <w:b/>
          <w:color w:val="000000" w:themeColor="text1"/>
          <w:sz w:val="24"/>
          <w:szCs w:val="24"/>
          <w:highlight w:val="none"/>
          <w14:textFill>
            <w14:solidFill>
              <w14:schemeClr w14:val="tx1"/>
            </w14:solidFill>
          </w14:textFill>
        </w:rPr>
        <w:t>4.2</w:t>
      </w:r>
      <w:r>
        <w:rPr>
          <w:rFonts w:hint="eastAsia" w:ascii="宋体" w:hAnsi="宋体"/>
          <w:color w:val="000000" w:themeColor="text1"/>
          <w:sz w:val="24"/>
          <w:highlight w:val="none"/>
          <w14:textFill>
            <w14:solidFill>
              <w14:schemeClr w14:val="tx1"/>
            </w14:solidFill>
          </w14:textFill>
        </w:rPr>
        <w:t>报价为物业管理含税包干经费，该包干经费不随国家、地方法律法规、其他相关政策性调整以及管理教室用途、房屋用途变更而增加。</w:t>
      </w:r>
    </w:p>
    <w:bookmarkEnd w:id="29"/>
    <w:p w14:paraId="7A5729C1">
      <w:pPr>
        <w:spacing w:line="560" w:lineRule="exact"/>
        <w:ind w:firstLine="495"/>
        <w:rPr>
          <w:rFonts w:ascii="宋体" w:hAnsi="宋体"/>
          <w:sz w:val="24"/>
          <w:highlight w:val="none"/>
        </w:rPr>
      </w:pPr>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3</w:t>
      </w:r>
      <w:r>
        <w:rPr>
          <w:rFonts w:hint="eastAsia" w:ascii="宋体" w:hAnsi="宋体"/>
          <w:sz w:val="24"/>
          <w:highlight w:val="none"/>
        </w:rPr>
        <w:t>在评标过程中，评标委员会认为中标人投标报价明显低于其他通过符合性审查中标人的投标报价，有可能影响产品质量或者不能诚信履约的，评标委员会应当要求其在合理的时间内提供书面说明，必要时提交相关证明材料。中标人提交的书面说明、相关证明材料（如涉及），应当加盖中标人（法定名称）电子签章，否则无效。</w:t>
      </w:r>
    </w:p>
    <w:p w14:paraId="299EDA38">
      <w:pPr>
        <w:adjustRightInd w:val="0"/>
        <w:spacing w:line="360" w:lineRule="auto"/>
        <w:ind w:firstLine="482" w:firstLineChars="200"/>
        <w:textAlignment w:val="baseline"/>
        <w:rPr>
          <w:rFonts w:ascii="宋体" w:hAnsi="宋体"/>
          <w:sz w:val="24"/>
          <w:highlight w:val="none"/>
        </w:rPr>
      </w:pPr>
      <w:r>
        <w:rPr>
          <w:rFonts w:ascii="宋体" w:hAnsi="宋体"/>
          <w:b/>
          <w:color w:val="000000" w:themeColor="text1"/>
          <w:sz w:val="24"/>
          <w:szCs w:val="24"/>
          <w:highlight w:val="none"/>
          <w14:textFill>
            <w14:solidFill>
              <w14:schemeClr w14:val="tx1"/>
            </w14:solidFill>
          </w14:textFill>
        </w:rPr>
        <w:t>4.4</w:t>
      </w:r>
      <w:r>
        <w:rPr>
          <w:rFonts w:hint="eastAsia" w:ascii="宋体" w:hAnsi="宋体"/>
          <w:sz w:val="24"/>
          <w:highlight w:val="none"/>
        </w:rPr>
        <w:t>报价应符合政府采购及国家相关政策规定。人员工资标准、社保等不得低于国家和地方政府的相关法律法规和部门规章规定的项目所在地最低标准。本项目招标公告发布后如有最低工资标准、社保缴费基数等以上所涉及的政策调整，按照最新的政策要求执行并进行报价。</w:t>
      </w:r>
      <w:r>
        <w:rPr>
          <w:rFonts w:hint="eastAsia" w:ascii="宋体" w:hAnsi="宋体" w:eastAsia="宋体" w:cs="宋体"/>
          <w:sz w:val="24"/>
          <w:szCs w:val="24"/>
          <w:highlight w:val="none"/>
        </w:rPr>
        <w:t>本项目报价时不得以各行政区域、地方政策针对拟派服务人员的各项补贴或减免，包含工资、社保减免作为组价因素（此条不影响供应商实际所享受的优惠减免）。</w:t>
      </w:r>
    </w:p>
    <w:p w14:paraId="7BC355B3">
      <w:pPr>
        <w:adjustRightInd w:val="0"/>
        <w:spacing w:line="360" w:lineRule="auto"/>
        <w:ind w:firstLine="482" w:firstLineChars="200"/>
        <w:textAlignment w:val="baseline"/>
        <w:rPr>
          <w:rFonts w:ascii="宋体" w:hAnsi="宋体"/>
          <w:sz w:val="24"/>
          <w:highlight w:val="none"/>
        </w:rPr>
      </w:pPr>
      <w:r>
        <w:rPr>
          <w:rFonts w:ascii="宋体" w:hAnsi="宋体"/>
          <w:b/>
          <w:color w:val="000000" w:themeColor="text1"/>
          <w:sz w:val="24"/>
          <w:szCs w:val="24"/>
          <w:highlight w:val="none"/>
          <w14:textFill>
            <w14:solidFill>
              <w14:schemeClr w14:val="tx1"/>
            </w14:solidFill>
          </w14:textFill>
        </w:rPr>
        <w:t>4.5</w:t>
      </w:r>
      <w:r>
        <w:rPr>
          <w:rFonts w:hint="eastAsia" w:ascii="宋体" w:hAnsi="宋体"/>
          <w:sz w:val="24"/>
          <w:highlight w:val="none"/>
        </w:rPr>
        <w:t>供应商的投标报价包含完成所有服务内容所需的所有费用。报价应包含基本工资；加班费；法定计提费用；社会保险费；服装费；员工福利；绿植租摆；相关设备、用具配置及日常物耗费用；不可竞争费用；企业管理费用；利润、税金（至少包含增值税及其附加）及完成本项目物业服务所需要的其他费用。</w:t>
      </w:r>
    </w:p>
    <w:p w14:paraId="3C76F53E">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具体如下：</w:t>
      </w:r>
    </w:p>
    <w:p w14:paraId="0E8DE173">
      <w:pPr>
        <w:adjustRightInd w:val="0"/>
        <w:spacing w:line="360" w:lineRule="auto"/>
        <w:ind w:firstLine="480" w:firstLineChars="200"/>
        <w:textAlignment w:val="baseline"/>
        <w:rPr>
          <w:highlight w:val="none"/>
        </w:rPr>
      </w:pPr>
      <w:r>
        <w:rPr>
          <w:rFonts w:hint="eastAsia" w:ascii="宋体" w:hAnsi="宋体"/>
          <w:sz w:val="24"/>
          <w:highlight w:val="none"/>
        </w:rPr>
        <w:t>（1）基本工资：中标人为本项目提供服务的全部人员的基本工资不得低于成都市当年最新政策规定的项目所在地的最低工资标准。若在投标时项目所在地本市辖区暂无根据《关于调整全省最低工资标准的通知》（川府规（2024）4号）发布的最新执行标准，则按照《关于调整全省最低工资标准的通知》（川府规（2024）4号）基本工资标准第一档计算。</w:t>
      </w:r>
    </w:p>
    <w:p w14:paraId="31C88131">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（2）加班费</w:t>
      </w:r>
    </w:p>
    <w:p w14:paraId="3DDA5781">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包含周末休息日加班费、法定节假日加班费、工作日延时加班费：按照招标文件要求及《中华人民共和国劳动法（2018修正）》规定用人单位应当依法支付加班工资，工作日延时加班费支付1.5倍工资报酬、周末休息日加班费支付2倍工资报酬、法定节假日加班费支付3倍工资报酬。因本项目服务需要而产生人员加班且无法进行补休的，供应商应按上述标准计算并支付加班费。</w:t>
      </w:r>
    </w:p>
    <w:p w14:paraId="072BB1B7">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说明：全年工作日按248天计算，全年法定节假日按13天计算，全年周末按104天计算，全年合计365天。</w:t>
      </w:r>
    </w:p>
    <w:p w14:paraId="00EF742C">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3）社会保险费：供应商应依法依规为物业服务人员缴纳社保，应缴尽缴。单位缴纳的社会保险应包含养老保险、失业保险、工伤保险、医疗保险（含大病）及生育保险。投标单位缴纳社保基数不低于成都市最新城镇职工最低缴费基数。</w:t>
      </w:r>
    </w:p>
    <w:p w14:paraId="55CF78C5">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（4）法定计提费用：</w:t>
      </w:r>
    </w:p>
    <w:p w14:paraId="71969682">
      <w:pPr>
        <w:adjustRightInd w:val="0"/>
        <w:spacing w:line="360" w:lineRule="auto"/>
        <w:ind w:firstLine="480" w:firstLineChars="200"/>
        <w:textAlignment w:val="baseline"/>
        <w:rPr>
          <w:rFonts w:ascii="宋体" w:hAnsi="宋体"/>
          <w:sz w:val="24"/>
          <w:highlight w:val="none"/>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hint="eastAsia" w:ascii="宋体" w:hAnsi="宋体"/>
          <w:sz w:val="24"/>
          <w:highlight w:val="none"/>
        </w:rPr>
        <w:t>本项目应分摊的工会经费：无论供应商是否成立工会组织都应按照国家法定要求进入费用报价，本项目应分摊的工会经费年缴纳额=本项目人员年工资总额×2%。</w:t>
      </w:r>
    </w:p>
    <w:p w14:paraId="43C90889">
      <w:pPr>
        <w:adjustRightInd w:val="0"/>
        <w:spacing w:line="360" w:lineRule="auto"/>
        <w:ind w:firstLine="480" w:firstLineChars="200"/>
        <w:textAlignment w:val="baseline"/>
        <w:rPr>
          <w:rFonts w:ascii="宋体" w:hAnsi="宋体"/>
          <w:sz w:val="24"/>
          <w:highlight w:val="none"/>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sz w:val="24"/>
          <w:highlight w:val="none"/>
        </w:rPr>
        <w:t>本项目应分摊的教育经费：按照国家法定要求进入费用报价，本项目应分摊的教育基金年缴纳额=本项目人员年工资总额×1.5%。</w:t>
      </w:r>
    </w:p>
    <w:p w14:paraId="593C32AD">
      <w:pPr>
        <w:adjustRightInd w:val="0"/>
        <w:spacing w:line="360" w:lineRule="auto"/>
        <w:ind w:firstLine="480" w:firstLineChars="200"/>
        <w:textAlignment w:val="baseline"/>
        <w:rPr>
          <w:rFonts w:ascii="宋体" w:hAnsi="宋体"/>
          <w:sz w:val="24"/>
          <w:highlight w:val="none"/>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sz w:val="24"/>
          <w:highlight w:val="none"/>
        </w:rPr>
        <w:t>本项目应分摊的残保金：按照国家法定要求进入费用报价。保障金年缴纳额=（上年用人单位在职职工人数×所在地省、自治区、直辖市人民政府规定的安排残疾人就业比例-上年用人单位实际安排的残疾人就业人数）×上年用人单位在职职工年平均工资。</w:t>
      </w:r>
    </w:p>
    <w:p w14:paraId="47EC087D">
      <w:pPr>
        <w:pStyle w:val="61"/>
        <w:spacing w:line="360" w:lineRule="auto"/>
        <w:ind w:firstLine="584"/>
        <w:jc w:val="both"/>
        <w:rPr>
          <w:rFonts w:hint="default" w:ascii="宋体" w:hAnsi="宋体" w:eastAsia="宋体" w:cs="宋体"/>
          <w:sz w:val="24"/>
          <w:szCs w:val="24"/>
          <w:highlight w:val="none"/>
        </w:rPr>
      </w:pPr>
      <w:r>
        <w:rPr>
          <w:rFonts w:hint="default" w:ascii="宋体" w:hAnsi="宋体" w:eastAsia="宋体" w:cs="宋体"/>
          <w:sz w:val="24"/>
          <w:szCs w:val="24"/>
          <w:highlight w:val="none"/>
        </w:rPr>
        <w:t>4</w:t>
      </w:r>
      <w:r>
        <w:rPr>
          <w:rFonts w:ascii="宋体" w:hAnsi="宋体" w:eastAsia="宋体" w:cs="宋体"/>
          <w:sz w:val="24"/>
          <w:szCs w:val="24"/>
          <w:highlight w:val="none"/>
        </w:rPr>
        <w:t>）本项目应分摊的住房公积金：供应商应为全体员工购买住房公积金，公积金缴存应符合《成都住房公积金管理中心关于印发&lt;成都住房公积金缴存管理实施细则&gt;的通知》（成公积金〔2021〕42 号），缴存基数按（成都住房公积金管理委员会关于公布2024年成都住房公积金缴存基数及缴存比例执行标准的通知）执行。</w:t>
      </w:r>
    </w:p>
    <w:p w14:paraId="5C6C72CB">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（5）服装费：根据供应商自身情况进行报价。</w:t>
      </w:r>
    </w:p>
    <w:p w14:paraId="256700B7">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（6）员工福利：根据供应商自身情况进行报价。</w:t>
      </w:r>
    </w:p>
    <w:p w14:paraId="667857BA">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（7）绿植租摆：按照招标文件要求进行报价，至少需体现单价、金额。</w:t>
      </w:r>
    </w:p>
    <w:p w14:paraId="08450F24">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（8）相关设备、用具配置及日常物耗：按照招标文件要求进行报价。</w:t>
      </w:r>
    </w:p>
    <w:p w14:paraId="4819740D">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（9）不可竞争费用：根据供应商自身情况进行报价。</w:t>
      </w:r>
    </w:p>
    <w:p w14:paraId="3182370C">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（10）企业管理费用：根据供应商自身情况进行报价。</w:t>
      </w:r>
    </w:p>
    <w:p w14:paraId="07E0D4CF">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（11）利润：根据供应商自身情况进行报价。</w:t>
      </w:r>
    </w:p>
    <w:p w14:paraId="1647D2B8">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（12）完成本项目物业服务所需要的其他费用：供应商按招标文件要求结合自身情况和经验进行报价。</w:t>
      </w:r>
    </w:p>
    <w:p w14:paraId="085A9657">
      <w:pPr>
        <w:adjustRightIn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13）税金（至少包含所得税、增值税及其附加）：以上述费用全额成本及利润之和按税金比率计算。【说明：1、供应商应明确增值税纳税人身份，即增值税一般纳税人还是小规模纳税人，提供电子税务系统增值税纳税人资格身份证明的截图，且在投标报价中应明确各项税金明细比率，若未提供视为未实质性响应。2、供应商增值税率报价应符合现行政策的要求。符合减免税的供应商应提供相关政策文件或税务部门减免税的证明材料。提供的减免税政策享受期不能覆盖完项目服务期限的，应按已覆盖项目服务期与未覆盖项目服务期进行分段计算增值税并平均到服务期。以上，若未按要求提供材料或计算的，视为未实质性响应】。</w:t>
      </w:r>
    </w:p>
    <w:p w14:paraId="3C151243">
      <w:pPr>
        <w:pStyle w:val="61"/>
        <w:spacing w:line="360" w:lineRule="auto"/>
        <w:ind w:firstLine="480" w:firstLineChars="200"/>
        <w:jc w:val="both"/>
        <w:rPr>
          <w:rFonts w:hint="default" w:ascii="宋体" w:hAnsi="宋体" w:eastAsia="宋体" w:cs="宋体"/>
          <w:sz w:val="24"/>
          <w:szCs w:val="24"/>
          <w:highlight w:val="none"/>
        </w:rPr>
      </w:pPr>
      <w:r>
        <w:rPr>
          <w:rFonts w:ascii="宋体" w:hAnsi="宋体" w:eastAsia="宋体" w:cs="宋体"/>
          <w:sz w:val="24"/>
          <w:szCs w:val="24"/>
          <w:highlight w:val="none"/>
          <w:lang w:eastAsia="zh-CN"/>
        </w:rPr>
        <w:t>(14)</w:t>
      </w:r>
      <w:r>
        <w:rPr>
          <w:rFonts w:ascii="宋体" w:hAnsi="宋体" w:eastAsia="宋体" w:cs="宋体"/>
          <w:sz w:val="24"/>
          <w:szCs w:val="24"/>
          <w:highlight w:val="none"/>
        </w:rPr>
        <w:t>优惠及减免报价相关要求</w:t>
      </w:r>
    </w:p>
    <w:p w14:paraId="011C644A">
      <w:pPr>
        <w:pStyle w:val="61"/>
        <w:spacing w:line="360" w:lineRule="auto"/>
        <w:ind w:firstLine="480" w:firstLineChars="200"/>
        <w:jc w:val="both"/>
        <w:rPr>
          <w:rFonts w:hint="default" w:ascii="宋体" w:hAnsi="宋体" w:eastAsia="宋体" w:cs="宋体"/>
          <w:sz w:val="24"/>
          <w:szCs w:val="24"/>
          <w:highlight w:val="none"/>
        </w:rPr>
      </w:pPr>
      <w:r>
        <w:rPr>
          <w:rFonts w:ascii="宋体" w:hAnsi="宋体" w:eastAsia="宋体" w:cs="宋体"/>
          <w:sz w:val="24"/>
          <w:szCs w:val="24"/>
          <w:highlight w:val="none"/>
        </w:rPr>
        <w:t>投标人依法依规享受优惠减免等政策的，须提供政府部门出具的相应证明材料或政策文件及投标人的情况说明。</w:t>
      </w:r>
    </w:p>
    <w:p w14:paraId="5DDDD79C">
      <w:pPr>
        <w:pStyle w:val="61"/>
        <w:spacing w:line="360" w:lineRule="auto"/>
        <w:ind w:firstLine="480" w:firstLineChars="200"/>
        <w:jc w:val="both"/>
        <w:rPr>
          <w:rFonts w:hint="default" w:ascii="宋体" w:hAnsi="宋体" w:eastAsia="宋体" w:cs="宋体"/>
          <w:sz w:val="24"/>
          <w:szCs w:val="24"/>
          <w:highlight w:val="none"/>
        </w:rPr>
      </w:pPr>
      <w:r>
        <w:rPr>
          <w:rFonts w:ascii="宋体" w:hAnsi="宋体" w:eastAsia="宋体" w:cs="宋体"/>
          <w:sz w:val="24"/>
          <w:szCs w:val="24"/>
          <w:highlight w:val="none"/>
        </w:rPr>
        <w:t>如为投标人拟配置服务人员依法依规享受优惠减免等政策的，须提供：①政策文件、②投标人的情况说明③相应人员的身份证复印件、④证明其现已符合优惠减免政策对应的证明材料（即在投标文件中提供优惠减免政策文件要求的证明材料或政府部门出具的证明材料），并承诺享受优惠减免的人员是为本项目提供服务的人员。</w:t>
      </w:r>
      <w:bookmarkStart w:id="30" w:name="_GoBack"/>
      <w:bookmarkEnd w:id="30"/>
    </w:p>
    <w:p w14:paraId="5FE74290">
      <w:pPr>
        <w:pStyle w:val="61"/>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若投标人或拟配置服务人员享受优惠减免等政策，享受期不能覆盖完本项目服务期限的，按已覆盖项目服务期与未覆盖项目服务期进行分段计算并平均到服务期内。</w:t>
      </w:r>
    </w:p>
    <w:p w14:paraId="491DD70A">
      <w:pPr>
        <w:pStyle w:val="61"/>
        <w:spacing w:line="360" w:lineRule="auto"/>
        <w:ind w:firstLine="482" w:firstLineChars="200"/>
        <w:jc w:val="both"/>
        <w:rPr>
          <w:rFonts w:ascii="宋体" w:hAnsi="宋体" w:eastAsia="宋体" w:cs="宋体"/>
          <w:sz w:val="24"/>
          <w:szCs w:val="24"/>
          <w:highlight w:val="none"/>
        </w:rPr>
      </w:pPr>
      <w:r>
        <w:rPr>
          <w:rFonts w:ascii="宋体" w:hAnsi="宋体" w:eastAsia="宋体" w:cs="宋体"/>
          <w:b/>
          <w:bCs/>
          <w:color w:val="000000" w:themeColor="text1"/>
          <w:sz w:val="24"/>
          <w:szCs w:val="24"/>
          <w:highlight w:val="none"/>
          <w14:textFill>
            <w14:solidFill>
              <w14:schemeClr w14:val="tx1"/>
            </w14:solidFill>
          </w14:textFill>
        </w:rPr>
        <w:t>评审条款：</w:t>
      </w:r>
    </w:p>
    <w:p w14:paraId="0D0405C8">
      <w:pPr>
        <w:widowControl/>
        <w:shd w:val="clear" w:color="auto" w:fill="FFFFFF"/>
        <w:spacing w:line="48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最低</w:t>
      </w:r>
      <w:r>
        <w:rPr>
          <w:rFonts w:ascii="宋体" w:hAnsi="宋体" w:eastAsia="宋体" w:cs="宋体"/>
          <w:color w:val="000000" w:themeColor="text1"/>
          <w:kern w:val="0"/>
          <w:sz w:val="24"/>
          <w:szCs w:val="24"/>
          <w:highlight w:val="none"/>
          <w14:textFill>
            <w14:solidFill>
              <w14:schemeClr w14:val="tx1"/>
            </w14:solidFill>
          </w14:textFill>
        </w:rPr>
        <w:t>评标价法</w:t>
      </w:r>
    </w:p>
    <w:p w14:paraId="1490DE2A">
      <w:pPr>
        <w:widowControl/>
        <w:shd w:val="clear" w:color="auto" w:fill="FFFFFF"/>
        <w:spacing w:line="48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评审因素：项目实质性要求</w:t>
      </w:r>
    </w:p>
    <w:p w14:paraId="656C2269">
      <w:pPr>
        <w:widowControl/>
        <w:shd w:val="clear" w:color="auto" w:fill="FFFFFF"/>
        <w:spacing w:line="480" w:lineRule="auto"/>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评审标准：符合项目实质性要求，报价最低为中标人</w:t>
      </w:r>
    </w:p>
    <w:p w14:paraId="1876B6DA">
      <w:pPr>
        <w:pStyle w:val="61"/>
        <w:spacing w:line="360" w:lineRule="auto"/>
        <w:ind w:firstLine="482" w:firstLineChars="200"/>
        <w:jc w:val="both"/>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合同管理安排</w:t>
      </w:r>
    </w:p>
    <w:p w14:paraId="48476477">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shd w:val="clear" w:color="auto" w:fill="FFFF00"/>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、合同类型：买卖合同</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A3"/>
      </w:r>
      <w:r>
        <w:rPr>
          <w:rFonts w:hint="eastAsia" w:ascii="宋体" w:hAnsi="宋体" w:eastAsia="宋体" w:cs="宋体"/>
          <w:color w:val="000000" w:themeColor="text1"/>
          <w:kern w:val="0"/>
          <w:sz w:val="24"/>
          <w:szCs w:val="24"/>
          <w:highlight w:val="none"/>
          <w14:textFill>
            <w14:solidFill>
              <w14:schemeClr w14:val="tx1"/>
            </w14:solidFill>
          </w14:textFill>
        </w:rPr>
        <w:t xml:space="preserve"> 租赁合同□ 建设工程合同□ 技术合同□ 委托合同□ 物业管理合同</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其他合同□</w:t>
      </w:r>
    </w:p>
    <w:p w14:paraId="0D9EAF3C">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、合同履行期限：自合同签订之日起</w:t>
      </w:r>
      <w:r>
        <w:rPr>
          <w:rFonts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年</w:t>
      </w:r>
    </w:p>
    <w:p w14:paraId="2E000C42">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、合同履约地点：</w:t>
      </w:r>
      <w:r>
        <w:rPr>
          <w:rFonts w:hint="eastAsia" w:cs="宋体" w:asciiTheme="minorEastAsia" w:hAnsiTheme="minorEastAsia"/>
          <w:color w:val="000000" w:themeColor="text1"/>
          <w:kern w:val="0"/>
          <w:sz w:val="24"/>
          <w:szCs w:val="24"/>
          <w:highlight w:val="none"/>
          <w14:textFill>
            <w14:solidFill>
              <w14:schemeClr w14:val="tx1"/>
            </w14:solidFill>
          </w14:textFill>
        </w:rPr>
        <w:t>西华大学郫都校区</w:t>
      </w:r>
    </w:p>
    <w:p w14:paraId="4F2A8672">
      <w:pPr>
        <w:widowControl/>
        <w:shd w:val="clear" w:color="auto" w:fill="FFFFFF"/>
        <w:spacing w:line="480" w:lineRule="auto"/>
        <w:ind w:firstLine="480" w:firstLineChars="200"/>
        <w:rPr>
          <w:rFonts w:ascii="宋体" w:hAnsi="宋体" w:cs="宋体"/>
          <w:color w:val="000000" w:themeColor="text1"/>
          <w:kern w:val="0"/>
          <w:sz w:val="24"/>
          <w:szCs w:val="24"/>
          <w:highlight w:val="none"/>
          <w:shd w:val="clear" w:color="auto" w:fill="FFFF00"/>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、支付方式：</w:t>
      </w:r>
      <w:r>
        <w:rPr>
          <w:rFonts w:hint="eastAsia"/>
          <w:color w:val="000000" w:themeColor="text1"/>
          <w:sz w:val="24"/>
          <w:highlight w:val="none"/>
          <w14:textFill>
            <w14:solidFill>
              <w14:schemeClr w14:val="tx1"/>
            </w14:solidFill>
          </w14:textFill>
        </w:rPr>
        <w:t>一次付清</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分期付款</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按每月付款。</w:t>
      </w:r>
    </w:p>
    <w:p w14:paraId="16092526">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、履约保证金及缴纳形式：</w:t>
      </w:r>
    </w:p>
    <w:p w14:paraId="420CB05E">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中标/成交供应商是否需要缴纳履约保证金：是</w:t>
      </w:r>
    </w:p>
    <w:p w14:paraId="7B3E8E42">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履约保证金缴纳比例：5%</w:t>
      </w:r>
    </w:p>
    <w:p w14:paraId="501669FA">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缴纳方式：银行转账</w:t>
      </w:r>
    </w:p>
    <w:p w14:paraId="06F47160">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缴纳说明：缴纳履约保证金后签订合同</w:t>
      </w:r>
    </w:p>
    <w:p w14:paraId="5121C7A1">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、质量保证金及缴纳形式：</w:t>
      </w:r>
    </w:p>
    <w:p w14:paraId="7FE51B4E">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中标/成交供应商是否需要缴纳质量保证金：否</w:t>
      </w:r>
    </w:p>
    <w:p w14:paraId="38750E30">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支付约定及付款条件：按每月付款。采购方原则上于次月10日前支付上月物业费用（支付物业费前完成月度考核）。如遇特殊情况（如寒暑假及节假日和每年12月份的财务结算期），双方另行约定付款时间及方式。</w:t>
      </w:r>
    </w:p>
    <w:p w14:paraId="6FA75EA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分期付款条件（如有）：</w:t>
      </w:r>
    </w:p>
    <w:p w14:paraId="2A322AA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达到付款</w:t>
      </w:r>
      <w:r>
        <w:rPr>
          <w:rFonts w:ascii="宋体" w:hAnsi="宋体" w:eastAsia="宋体" w:cs="宋体"/>
          <w:color w:val="000000" w:themeColor="text1"/>
          <w:kern w:val="0"/>
          <w:sz w:val="24"/>
          <w:szCs w:val="24"/>
          <w:highlight w:val="none"/>
          <w14:textFill>
            <w14:solidFill>
              <w14:schemeClr w14:val="tx1"/>
            </w14:solidFill>
          </w14:textFill>
        </w:rPr>
        <w:t>条件起</w:t>
      </w:r>
      <w:r>
        <w:rPr>
          <w:rFonts w:hint="eastAsia" w:ascii="宋体" w:hAnsi="宋体" w:eastAsia="宋体" w:cs="宋体"/>
          <w:color w:val="000000" w:themeColor="text1"/>
          <w:kern w:val="0"/>
          <w:sz w:val="24"/>
          <w:szCs w:val="24"/>
          <w:highlight w:val="none"/>
          <w14:textFill>
            <w14:solidFill>
              <w14:schemeClr w14:val="tx1"/>
            </w14:solidFill>
          </w14:textFill>
        </w:rPr>
        <w:t>10日</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按月支付</w:t>
      </w:r>
    </w:p>
    <w:p w14:paraId="2CFD3E2E">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、验收交付标准和方法：</w:t>
      </w:r>
    </w:p>
    <w:p w14:paraId="135647A0">
      <w:pPr>
        <w:adjustRightInd w:val="0"/>
        <w:snapToGrid w:val="0"/>
        <w:spacing w:line="360" w:lineRule="auto"/>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cs="宋体" w:asciiTheme="minorEastAsia" w:hAnsiTheme="minorEastAsia"/>
          <w:color w:val="000000" w:themeColor="text1"/>
          <w:kern w:val="0"/>
          <w:sz w:val="24"/>
          <w:szCs w:val="24"/>
          <w:highlight w:val="none"/>
          <w14:textFill>
            <w14:solidFill>
              <w14:schemeClr w14:val="tx1"/>
            </w14:solidFill>
          </w14:textFill>
        </w:rPr>
        <w:t>验收标准：</w:t>
      </w:r>
      <w:r>
        <w:rPr>
          <w:rFonts w:hint="eastAsia" w:asciiTheme="minorEastAsia" w:hAnsiTheme="minorEastAsia"/>
          <w:color w:val="000000" w:themeColor="text1"/>
          <w:sz w:val="24"/>
          <w:szCs w:val="24"/>
          <w:highlight w:val="none"/>
          <w14:textFill>
            <w14:solidFill>
              <w14:schemeClr w14:val="tx1"/>
            </w14:solidFill>
          </w14:textFill>
        </w:rPr>
        <w:t>按国家有关规定以及甲方招标文件的质量要求和技术指标、乙方的投标文件及承诺与本合同约定标准进行验收。</w:t>
      </w:r>
    </w:p>
    <w:p w14:paraId="6EA1758E">
      <w:pPr>
        <w:adjustRightInd w:val="0"/>
        <w:snapToGrid w:val="0"/>
        <w:spacing w:line="360" w:lineRule="auto"/>
        <w:ind w:firstLine="480" w:firstLineChars="200"/>
        <w:rPr>
          <w:rFonts w:cs="宋体" w:asciiTheme="minorEastAsia" w:hAnsi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color w:val="000000" w:themeColor="text1"/>
          <w:kern w:val="0"/>
          <w:sz w:val="24"/>
          <w:szCs w:val="24"/>
          <w:highlight w:val="none"/>
          <w14:textFill>
            <w14:solidFill>
              <w14:schemeClr w14:val="tx1"/>
            </w14:solidFill>
          </w14:textFill>
        </w:rPr>
        <w:t>验收方法：</w:t>
      </w:r>
      <w:r>
        <w:rPr>
          <w:rFonts w:hint="eastAsia" w:asciiTheme="minorEastAsia" w:hAnsiTheme="minorEastAsia"/>
          <w:color w:val="000000" w:themeColor="text1"/>
          <w:sz w:val="24"/>
          <w:szCs w:val="24"/>
          <w:highlight w:val="none"/>
          <w14:textFill>
            <w14:solidFill>
              <w14:schemeClr w14:val="tx1"/>
            </w14:solidFill>
          </w14:textFill>
        </w:rPr>
        <w:t>通过月度考评和学期满意度调查相结合的方式对中标方物业管  理服务绩效进行评价，组织考评小组对服务情况进行验收。</w:t>
      </w:r>
    </w:p>
    <w:p w14:paraId="0D9433D9">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、质量保修范围和保修期：按招标文件和</w:t>
      </w:r>
      <w:r>
        <w:rPr>
          <w:rFonts w:hint="eastAsia"/>
          <w:color w:val="000000" w:themeColor="text1"/>
          <w:sz w:val="24"/>
          <w:szCs w:val="24"/>
          <w:highlight w:val="none"/>
          <w14:textFill>
            <w14:solidFill>
              <w14:schemeClr w14:val="tx1"/>
            </w14:solidFill>
          </w14:textFill>
        </w:rPr>
        <w:t>合同约定执行</w:t>
      </w:r>
    </w:p>
    <w:p w14:paraId="501ADDB7">
      <w:pPr>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、知识产权归属和处理方式：</w:t>
      </w:r>
    </w:p>
    <w:p w14:paraId="208127CA">
      <w:pPr>
        <w:spacing w:line="48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（1）中标供应商应保证在本项目使用的任何产品和服务(包括部分使用)时，不会产生因第三方提出侵犯其专利权、商标权或其它知识产权而引起的法律和经济纠纷，如因专利权、商标权或其它知识产权而引起法律</w:t>
      </w:r>
    </w:p>
    <w:p w14:paraId="16052610">
      <w:pPr>
        <w:spacing w:line="48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和经济纠纷，由中标供应商承担所有相关责任。</w:t>
      </w:r>
    </w:p>
    <w:p w14:paraId="12ED9FF6">
      <w:pPr>
        <w:spacing w:line="48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（2）采购人享有本项目实施过程中产生的知识成果及知识产权。</w:t>
      </w:r>
    </w:p>
    <w:p w14:paraId="1818FFB6">
      <w:pPr>
        <w:spacing w:line="48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4BF79CEC">
      <w:pPr>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（4）如采用中标供应商所不拥有的知识产权，中标供应商承诺在本项目投标报价中已经包括合法获取该知识产权的相关费用。</w:t>
      </w:r>
    </w:p>
    <w:p w14:paraId="502EFC30">
      <w:pPr>
        <w:pStyle w:val="6"/>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、成本补偿和风险分担约定：按招标文件和</w:t>
      </w:r>
      <w:r>
        <w:rPr>
          <w:rFonts w:hint="eastAsia"/>
          <w:color w:val="000000" w:themeColor="text1"/>
          <w:sz w:val="24"/>
          <w:szCs w:val="24"/>
          <w:highlight w:val="none"/>
          <w14:textFill>
            <w14:solidFill>
              <w14:schemeClr w14:val="tx1"/>
            </w14:solidFill>
          </w14:textFill>
        </w:rPr>
        <w:t>合同约定执行</w:t>
      </w:r>
    </w:p>
    <w:p w14:paraId="420FE72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11、违约责任与解决争议的方法：</w:t>
      </w:r>
      <w:r>
        <w:rPr>
          <w:rFonts w:ascii="宋体" w:hAnsi="宋体"/>
          <w:color w:val="000000" w:themeColor="text1"/>
          <w:sz w:val="24"/>
          <w:highlight w:val="none"/>
          <w14:textFill>
            <w14:solidFill>
              <w14:schemeClr w14:val="tx1"/>
            </w14:solidFill>
          </w14:textFill>
        </w:rPr>
        <w:t>如中标人向采购人提供虚假</w:t>
      </w:r>
      <w:r>
        <w:rPr>
          <w:rFonts w:hint="eastAsia" w:ascii="宋体" w:hAnsi="宋体"/>
          <w:color w:val="000000" w:themeColor="text1"/>
          <w:sz w:val="24"/>
          <w:highlight w:val="none"/>
          <w14:textFill>
            <w14:solidFill>
              <w14:schemeClr w14:val="tx1"/>
            </w14:solidFill>
          </w14:textFill>
        </w:rPr>
        <w:t>材料</w:t>
      </w:r>
      <w:r>
        <w:rPr>
          <w:rFonts w:ascii="宋体" w:hAnsi="宋体"/>
          <w:color w:val="000000" w:themeColor="text1"/>
          <w:sz w:val="24"/>
          <w:highlight w:val="none"/>
          <w14:textFill>
            <w14:solidFill>
              <w14:schemeClr w14:val="tx1"/>
            </w14:solidFill>
          </w14:textFill>
        </w:rPr>
        <w:t>，采</w:t>
      </w:r>
    </w:p>
    <w:p w14:paraId="341B6D06">
      <w:pPr>
        <w:adjustRightInd w:val="0"/>
        <w:snapToGrid w:val="0"/>
        <w:spacing w:line="360" w:lineRule="auto"/>
        <w:rPr>
          <w:rFonts w:ascii="宋体" w:hAnsi="宋体" w:eastAsia="宋体" w:cs="宋体"/>
          <w:color w:val="000000" w:themeColor="text1"/>
          <w:kern w:val="0"/>
          <w:sz w:val="24"/>
          <w:szCs w:val="24"/>
          <w:highlight w:val="none"/>
          <w:shd w:val="clear" w:color="auto" w:fill="FFFF00"/>
          <w14:textFill>
            <w14:solidFill>
              <w14:schemeClr w14:val="tx1"/>
            </w14:solidFill>
          </w14:textFill>
        </w:rPr>
      </w:pPr>
      <w:r>
        <w:rPr>
          <w:rFonts w:ascii="宋体" w:hAnsi="宋体"/>
          <w:color w:val="000000" w:themeColor="text1"/>
          <w:sz w:val="24"/>
          <w:highlight w:val="none"/>
          <w14:textFill>
            <w14:solidFill>
              <w14:schemeClr w14:val="tx1"/>
            </w14:solidFill>
          </w14:textFill>
        </w:rPr>
        <w:t>购人有权要求</w:t>
      </w:r>
      <w:r>
        <w:rPr>
          <w:rFonts w:hint="eastAsia" w:ascii="宋体" w:hAnsi="宋体"/>
          <w:color w:val="000000" w:themeColor="text1"/>
          <w:sz w:val="24"/>
          <w:highlight w:val="none"/>
          <w14:textFill>
            <w14:solidFill>
              <w14:schemeClr w14:val="tx1"/>
            </w14:solidFill>
          </w14:textFill>
        </w:rPr>
        <w:t>终止合同</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w:t>
      </w:r>
      <w:r>
        <w:rPr>
          <w:rFonts w:ascii="宋体" w:hAnsi="宋体"/>
          <w:color w:val="000000" w:themeColor="text1"/>
          <w:sz w:val="24"/>
          <w:highlight w:val="none"/>
          <w14:textFill>
            <w14:solidFill>
              <w14:schemeClr w14:val="tx1"/>
            </w14:solidFill>
          </w14:textFill>
        </w:rPr>
        <w:t>报省财政厅</w:t>
      </w:r>
      <w:r>
        <w:rPr>
          <w:rFonts w:hint="eastAsia" w:ascii="宋体" w:hAnsi="宋体"/>
          <w:color w:val="000000" w:themeColor="text1"/>
          <w:sz w:val="24"/>
          <w:highlight w:val="none"/>
          <w14:textFill>
            <w14:solidFill>
              <w14:schemeClr w14:val="tx1"/>
            </w14:solidFill>
          </w14:textFill>
        </w:rPr>
        <w:t>相关部门</w:t>
      </w:r>
      <w:r>
        <w:rPr>
          <w:rFonts w:ascii="宋体" w:hAnsi="宋体"/>
          <w:color w:val="000000" w:themeColor="text1"/>
          <w:sz w:val="24"/>
          <w:highlight w:val="none"/>
          <w14:textFill>
            <w14:solidFill>
              <w14:schemeClr w14:val="tx1"/>
            </w14:solidFill>
          </w14:textFill>
        </w:rPr>
        <w:t>进行处罚</w:t>
      </w:r>
      <w:r>
        <w:rPr>
          <w:rFonts w:hint="eastAsia" w:ascii="宋体" w:hAnsi="宋体"/>
          <w:color w:val="000000" w:themeColor="text1"/>
          <w:sz w:val="24"/>
          <w:highlight w:val="none"/>
          <w14:textFill>
            <w14:solidFill>
              <w14:schemeClr w14:val="tx1"/>
            </w14:solidFill>
          </w14:textFill>
        </w:rPr>
        <w:t>，学校</w:t>
      </w:r>
      <w:r>
        <w:rPr>
          <w:rFonts w:ascii="宋体" w:hAnsi="宋体"/>
          <w:color w:val="000000" w:themeColor="text1"/>
          <w:sz w:val="24"/>
          <w:highlight w:val="none"/>
          <w14:textFill>
            <w14:solidFill>
              <w14:schemeClr w14:val="tx1"/>
            </w14:solidFill>
          </w14:textFill>
        </w:rPr>
        <w:t>保留向中标人追究法律责任</w:t>
      </w:r>
      <w:r>
        <w:rPr>
          <w:rFonts w:hint="eastAsia"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14:textFill>
            <w14:solidFill>
              <w14:schemeClr w14:val="tx1"/>
            </w14:solidFill>
          </w14:textFill>
        </w:rPr>
        <w:t>权利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p>
    <w:p w14:paraId="3A3D6BD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、合同其他条款：按招标文件和</w:t>
      </w:r>
      <w:r>
        <w:rPr>
          <w:rFonts w:hint="eastAsia"/>
          <w:color w:val="000000" w:themeColor="text1"/>
          <w:sz w:val="24"/>
          <w:szCs w:val="24"/>
          <w:highlight w:val="none"/>
          <w14:textFill>
            <w14:solidFill>
              <w14:schemeClr w14:val="tx1"/>
            </w14:solidFill>
          </w14:textFill>
        </w:rPr>
        <w:t>合同约定执行</w:t>
      </w:r>
    </w:p>
    <w:p w14:paraId="11488001">
      <w:pPr>
        <w:pStyle w:val="61"/>
        <w:spacing w:line="360" w:lineRule="auto"/>
        <w:ind w:firstLine="482" w:firstLineChars="200"/>
        <w:jc w:val="both"/>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履约验收方案</w:t>
      </w:r>
    </w:p>
    <w:p w14:paraId="2DD702B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1、验收组织方式：</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自行验收  □委托第三方验收</w:t>
      </w:r>
    </w:p>
    <w:p w14:paraId="4D9EF1FC">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2、是否邀请本项目的其他供应商：是</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0"/>
          <w:sz w:val="24"/>
          <w:szCs w:val="24"/>
          <w:highlight w:val="none"/>
          <w14:textFill>
            <w14:solidFill>
              <w14:schemeClr w14:val="tx1"/>
            </w14:solidFill>
          </w14:textFill>
        </w:rPr>
        <w:t xml:space="preserve">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52"/>
      </w:r>
    </w:p>
    <w:p w14:paraId="72B4877B">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3、是否邀请专家：是□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FE"/>
      </w:r>
    </w:p>
    <w:p w14:paraId="54D8E8E9">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4、是否邀请服务对象：是</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0"/>
          <w:sz w:val="24"/>
          <w:szCs w:val="24"/>
          <w:highlight w:val="none"/>
          <w14:textFill>
            <w14:solidFill>
              <w14:schemeClr w14:val="tx1"/>
            </w14:solidFill>
          </w14:textFill>
        </w:rPr>
        <w:t xml:space="preserve">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2" w:char="0052"/>
      </w:r>
    </w:p>
    <w:p w14:paraId="74769B2F">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5、是否邀请第三方检测机构：是□ 否</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p>
    <w:p w14:paraId="541B136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6、履约验收程序：□一次性验收 </w:t>
      </w: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14:textFill>
            <w14:solidFill>
              <w14:schemeClr w14:val="tx1"/>
            </w14:solidFill>
          </w14:textFill>
        </w:rPr>
        <w:t>分段/分期验收</w:t>
      </w:r>
    </w:p>
    <w:p w14:paraId="3D4EE163">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7、履约验收时间：</w:t>
      </w:r>
    </w:p>
    <w:p w14:paraId="6FCA9C0F">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□计划于   组织验收</w:t>
      </w:r>
    </w:p>
    <w:p w14:paraId="6603CC99">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sym w:font="Wingdings" w:char="F0FE"/>
      </w:r>
      <w:r>
        <w:rPr>
          <w:rFonts w:hint="eastAsia" w:ascii="宋体" w:hAnsi="宋体" w:eastAsia="宋体" w:cs="宋体"/>
          <w:color w:val="000000" w:themeColor="text1"/>
          <w:kern w:val="0"/>
          <w:sz w:val="24"/>
          <w:szCs w:val="24"/>
          <w:highlight w:val="none"/>
          <w14:textFill>
            <w14:solidFill>
              <w14:schemeClr w14:val="tx1"/>
            </w14:solidFill>
          </w14:textFill>
        </w:rPr>
        <w:t>供应商提出验收申请之日起10日内组织验收</w:t>
      </w:r>
    </w:p>
    <w:p w14:paraId="688ACE6D">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、验收组织的其他事项：按招标文件和</w:t>
      </w:r>
      <w:r>
        <w:rPr>
          <w:rFonts w:hint="eastAsia"/>
          <w:color w:val="000000" w:themeColor="text1"/>
          <w:sz w:val="24"/>
          <w:szCs w:val="24"/>
          <w:highlight w:val="none"/>
          <w14:textFill>
            <w14:solidFill>
              <w14:schemeClr w14:val="tx1"/>
            </w14:solidFill>
          </w14:textFill>
        </w:rPr>
        <w:t>合同约定执行</w:t>
      </w:r>
    </w:p>
    <w:p w14:paraId="308626C6">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、技术履约验收内容：按招标文件和</w:t>
      </w:r>
      <w:r>
        <w:rPr>
          <w:rFonts w:hint="eastAsia"/>
          <w:color w:val="000000" w:themeColor="text1"/>
          <w:sz w:val="24"/>
          <w:szCs w:val="24"/>
          <w:highlight w:val="none"/>
          <w14:textFill>
            <w14:solidFill>
              <w14:schemeClr w14:val="tx1"/>
            </w14:solidFill>
          </w14:textFill>
        </w:rPr>
        <w:t>合同约定执行</w:t>
      </w:r>
    </w:p>
    <w:p w14:paraId="1FB0EDF8">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shd w:val="clear" w:color="auto" w:fill="FFFF00"/>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、商务履约验收内容：按招标文件和</w:t>
      </w:r>
      <w:r>
        <w:rPr>
          <w:rFonts w:hint="eastAsia"/>
          <w:color w:val="000000" w:themeColor="text1"/>
          <w:sz w:val="24"/>
          <w:szCs w:val="24"/>
          <w:highlight w:val="none"/>
          <w14:textFill>
            <w14:solidFill>
              <w14:schemeClr w14:val="tx1"/>
            </w14:solidFill>
          </w14:textFill>
        </w:rPr>
        <w:t>合同约定执行</w:t>
      </w:r>
    </w:p>
    <w:p w14:paraId="5386CE75">
      <w:pPr>
        <w:widowControl/>
        <w:shd w:val="clear" w:color="auto" w:fill="FFFFFF"/>
        <w:spacing w:line="480" w:lineRule="auto"/>
        <w:ind w:firstLine="480" w:firstLineChars="200"/>
        <w:rPr>
          <w:rFonts w:ascii="宋体" w:hAnsi="宋体" w:eastAsia="宋体" w:cs="宋体"/>
          <w:color w:val="000000" w:themeColor="text1"/>
          <w:kern w:val="0"/>
          <w:sz w:val="24"/>
          <w:szCs w:val="24"/>
          <w:highlight w:val="none"/>
          <w:shd w:val="clear" w:color="auto" w:fill="FFFF00"/>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、履约验收标准：</w:t>
      </w:r>
      <w:r>
        <w:rPr>
          <w:rFonts w:hint="eastAsia" w:asciiTheme="minorEastAsia" w:hAnsiTheme="minorEastAsia"/>
          <w:color w:val="000000" w:themeColor="text1"/>
          <w:sz w:val="24"/>
          <w:szCs w:val="24"/>
          <w:highlight w:val="none"/>
          <w14:textFill>
            <w14:solidFill>
              <w14:schemeClr w14:val="tx1"/>
            </w14:solidFill>
          </w14:textFill>
        </w:rPr>
        <w:t>按国家有关规定以及甲方招标文件的质量要求和技术指标、乙方的投标文件及承诺与本合同约定标准进行验收。</w:t>
      </w:r>
    </w:p>
    <w:p w14:paraId="565C5B98">
      <w:pPr>
        <w:widowControl/>
        <w:shd w:val="clear" w:color="auto" w:fill="FFFFFF"/>
        <w:spacing w:line="48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、履约验收其他事项：按招标文件和合同要求验收。</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B34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6D8A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06D8A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D4A13"/>
    <w:multiLevelType w:val="singleLevel"/>
    <w:tmpl w:val="DDAD4A13"/>
    <w:lvl w:ilvl="0" w:tentative="0">
      <w:start w:val="5"/>
      <w:numFmt w:val="decimal"/>
      <w:suff w:val="nothing"/>
      <w:lvlText w:val="（%1）"/>
      <w:lvlJc w:val="left"/>
    </w:lvl>
  </w:abstractNum>
  <w:abstractNum w:abstractNumId="1">
    <w:nsid w:val="1B5D06D0"/>
    <w:multiLevelType w:val="multilevel"/>
    <w:tmpl w:val="1B5D06D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CF4612B"/>
    <w:multiLevelType w:val="singleLevel"/>
    <w:tmpl w:val="2CF4612B"/>
    <w:lvl w:ilvl="0" w:tentative="0">
      <w:start w:val="1"/>
      <w:numFmt w:val="decimal"/>
      <w:suff w:val="nothing"/>
      <w:lvlText w:val="（%1）"/>
      <w:lvlJc w:val="left"/>
    </w:lvl>
  </w:abstractNum>
  <w:abstractNum w:abstractNumId="3">
    <w:nsid w:val="3EF0CC96"/>
    <w:multiLevelType w:val="singleLevel"/>
    <w:tmpl w:val="3EF0CC96"/>
    <w:lvl w:ilvl="0" w:tentative="0">
      <w:start w:val="1"/>
      <w:numFmt w:val="decimal"/>
      <w:lvlText w:val="(%1)"/>
      <w:lvlJc w:val="left"/>
      <w:pPr>
        <w:ind w:left="420" w:hanging="425"/>
      </w:pPr>
      <w:rPr>
        <w:rFonts w:hint="default"/>
      </w:rPr>
    </w:lvl>
  </w:abstractNum>
  <w:abstractNum w:abstractNumId="4">
    <w:nsid w:val="4C0645A3"/>
    <w:multiLevelType w:val="multilevel"/>
    <w:tmpl w:val="4C0645A3"/>
    <w:lvl w:ilvl="0" w:tentative="0">
      <w:start w:val="2"/>
      <w:numFmt w:val="decimalEnclosedParen"/>
      <w:lvlText w:val="%1"/>
      <w:lvlJc w:val="left"/>
      <w:pPr>
        <w:ind w:left="360" w:hanging="360"/>
      </w:pPr>
      <w:rPr>
        <w:rFonts w:hint="default"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B90242"/>
    <w:multiLevelType w:val="multilevel"/>
    <w:tmpl w:val="66B90242"/>
    <w:lvl w:ilvl="0" w:tentative="0">
      <w:start w:val="3"/>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1"/>
  </w:num>
  <w:num w:numId="3">
    <w:abstractNumId w:val="2"/>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e3b7756d-1f73-4d60-8c65-279086a3d250"/>
  </w:docVars>
  <w:rsids>
    <w:rsidRoot w:val="00283798"/>
    <w:rsid w:val="0000115F"/>
    <w:rsid w:val="00004C8E"/>
    <w:rsid w:val="00010572"/>
    <w:rsid w:val="00011223"/>
    <w:rsid w:val="000178B7"/>
    <w:rsid w:val="00024107"/>
    <w:rsid w:val="00024B48"/>
    <w:rsid w:val="00025CFC"/>
    <w:rsid w:val="000266CB"/>
    <w:rsid w:val="000371DE"/>
    <w:rsid w:val="00042998"/>
    <w:rsid w:val="00042BCB"/>
    <w:rsid w:val="000470FC"/>
    <w:rsid w:val="00047B74"/>
    <w:rsid w:val="00050343"/>
    <w:rsid w:val="00055CA7"/>
    <w:rsid w:val="00060343"/>
    <w:rsid w:val="00064D5D"/>
    <w:rsid w:val="00067124"/>
    <w:rsid w:val="00067FED"/>
    <w:rsid w:val="00081002"/>
    <w:rsid w:val="000834C2"/>
    <w:rsid w:val="00083596"/>
    <w:rsid w:val="00092B5B"/>
    <w:rsid w:val="000A232A"/>
    <w:rsid w:val="000A48D6"/>
    <w:rsid w:val="000C7956"/>
    <w:rsid w:val="000D1208"/>
    <w:rsid w:val="000E0847"/>
    <w:rsid w:val="000E28DC"/>
    <w:rsid w:val="000F0B53"/>
    <w:rsid w:val="000F4538"/>
    <w:rsid w:val="000F5D5D"/>
    <w:rsid w:val="00103626"/>
    <w:rsid w:val="0011018D"/>
    <w:rsid w:val="001144D0"/>
    <w:rsid w:val="00114706"/>
    <w:rsid w:val="00117EAA"/>
    <w:rsid w:val="001305B9"/>
    <w:rsid w:val="00135598"/>
    <w:rsid w:val="00135751"/>
    <w:rsid w:val="0014379F"/>
    <w:rsid w:val="00154981"/>
    <w:rsid w:val="00156239"/>
    <w:rsid w:val="0016520F"/>
    <w:rsid w:val="00173C7E"/>
    <w:rsid w:val="001751BA"/>
    <w:rsid w:val="00180F38"/>
    <w:rsid w:val="0018208C"/>
    <w:rsid w:val="00186E4C"/>
    <w:rsid w:val="001912EC"/>
    <w:rsid w:val="001A2C84"/>
    <w:rsid w:val="001A73C3"/>
    <w:rsid w:val="001B6159"/>
    <w:rsid w:val="001C6F2D"/>
    <w:rsid w:val="001D2AA2"/>
    <w:rsid w:val="001D3A84"/>
    <w:rsid w:val="001D5589"/>
    <w:rsid w:val="001E5DC3"/>
    <w:rsid w:val="001F4767"/>
    <w:rsid w:val="001F6B82"/>
    <w:rsid w:val="00204B69"/>
    <w:rsid w:val="00211355"/>
    <w:rsid w:val="00223595"/>
    <w:rsid w:val="00225791"/>
    <w:rsid w:val="00226CED"/>
    <w:rsid w:val="002277CD"/>
    <w:rsid w:val="002300E3"/>
    <w:rsid w:val="0024033D"/>
    <w:rsid w:val="002455F7"/>
    <w:rsid w:val="0024660A"/>
    <w:rsid w:val="00247CCB"/>
    <w:rsid w:val="002502DF"/>
    <w:rsid w:val="00250ED1"/>
    <w:rsid w:val="002536D0"/>
    <w:rsid w:val="002555EA"/>
    <w:rsid w:val="00256071"/>
    <w:rsid w:val="002749BF"/>
    <w:rsid w:val="00274A8F"/>
    <w:rsid w:val="00283798"/>
    <w:rsid w:val="002925DC"/>
    <w:rsid w:val="002A0063"/>
    <w:rsid w:val="002B0091"/>
    <w:rsid w:val="002B01DD"/>
    <w:rsid w:val="002B6BF0"/>
    <w:rsid w:val="002C0763"/>
    <w:rsid w:val="002C5406"/>
    <w:rsid w:val="002F1523"/>
    <w:rsid w:val="002F4452"/>
    <w:rsid w:val="00306306"/>
    <w:rsid w:val="00321DC7"/>
    <w:rsid w:val="003274B4"/>
    <w:rsid w:val="003302AD"/>
    <w:rsid w:val="00332E3A"/>
    <w:rsid w:val="003341F2"/>
    <w:rsid w:val="00334BD1"/>
    <w:rsid w:val="00335B0F"/>
    <w:rsid w:val="003364CF"/>
    <w:rsid w:val="0035375B"/>
    <w:rsid w:val="003564D7"/>
    <w:rsid w:val="0037117F"/>
    <w:rsid w:val="003711FF"/>
    <w:rsid w:val="00374064"/>
    <w:rsid w:val="00375C98"/>
    <w:rsid w:val="003767FF"/>
    <w:rsid w:val="0039158C"/>
    <w:rsid w:val="003960B2"/>
    <w:rsid w:val="003A2F68"/>
    <w:rsid w:val="003F2781"/>
    <w:rsid w:val="003F3680"/>
    <w:rsid w:val="003F417C"/>
    <w:rsid w:val="00403916"/>
    <w:rsid w:val="004049FA"/>
    <w:rsid w:val="004079CC"/>
    <w:rsid w:val="00420486"/>
    <w:rsid w:val="004255A8"/>
    <w:rsid w:val="00425CDA"/>
    <w:rsid w:val="00433453"/>
    <w:rsid w:val="004421D4"/>
    <w:rsid w:val="0044357E"/>
    <w:rsid w:val="004478A9"/>
    <w:rsid w:val="004479E5"/>
    <w:rsid w:val="00447A5E"/>
    <w:rsid w:val="00450FEF"/>
    <w:rsid w:val="004669AB"/>
    <w:rsid w:val="00481673"/>
    <w:rsid w:val="00486F80"/>
    <w:rsid w:val="00490A4B"/>
    <w:rsid w:val="0049197A"/>
    <w:rsid w:val="004A5558"/>
    <w:rsid w:val="004B3497"/>
    <w:rsid w:val="004B491A"/>
    <w:rsid w:val="004C0439"/>
    <w:rsid w:val="004C5322"/>
    <w:rsid w:val="004C5C03"/>
    <w:rsid w:val="004E27E2"/>
    <w:rsid w:val="004E4F29"/>
    <w:rsid w:val="004E783D"/>
    <w:rsid w:val="004F0D10"/>
    <w:rsid w:val="004F1A9D"/>
    <w:rsid w:val="004F63F1"/>
    <w:rsid w:val="004F6840"/>
    <w:rsid w:val="004F710C"/>
    <w:rsid w:val="005005DE"/>
    <w:rsid w:val="00502C8E"/>
    <w:rsid w:val="005054AE"/>
    <w:rsid w:val="005223B1"/>
    <w:rsid w:val="005322ED"/>
    <w:rsid w:val="00537661"/>
    <w:rsid w:val="00551C12"/>
    <w:rsid w:val="00565C77"/>
    <w:rsid w:val="00566356"/>
    <w:rsid w:val="0057272F"/>
    <w:rsid w:val="0057597F"/>
    <w:rsid w:val="00581A28"/>
    <w:rsid w:val="00582354"/>
    <w:rsid w:val="005903B1"/>
    <w:rsid w:val="00595CA2"/>
    <w:rsid w:val="005A5986"/>
    <w:rsid w:val="005A6382"/>
    <w:rsid w:val="005B3E87"/>
    <w:rsid w:val="005B4F7D"/>
    <w:rsid w:val="005C3C0C"/>
    <w:rsid w:val="005D7045"/>
    <w:rsid w:val="005D77AA"/>
    <w:rsid w:val="005E1DA1"/>
    <w:rsid w:val="005E78B8"/>
    <w:rsid w:val="005E79E8"/>
    <w:rsid w:val="005F0B13"/>
    <w:rsid w:val="0060413F"/>
    <w:rsid w:val="00615EBF"/>
    <w:rsid w:val="006257BA"/>
    <w:rsid w:val="006269DA"/>
    <w:rsid w:val="006342A2"/>
    <w:rsid w:val="00635498"/>
    <w:rsid w:val="0064197B"/>
    <w:rsid w:val="006544BC"/>
    <w:rsid w:val="00660734"/>
    <w:rsid w:val="00671473"/>
    <w:rsid w:val="00673F4C"/>
    <w:rsid w:val="00676CC2"/>
    <w:rsid w:val="00680214"/>
    <w:rsid w:val="00680BFF"/>
    <w:rsid w:val="006874FB"/>
    <w:rsid w:val="00693B1E"/>
    <w:rsid w:val="0069459F"/>
    <w:rsid w:val="00694F1A"/>
    <w:rsid w:val="006957FF"/>
    <w:rsid w:val="006A1EB9"/>
    <w:rsid w:val="006A3727"/>
    <w:rsid w:val="006D1DBF"/>
    <w:rsid w:val="006E350D"/>
    <w:rsid w:val="006E438B"/>
    <w:rsid w:val="006E66C9"/>
    <w:rsid w:val="006F066B"/>
    <w:rsid w:val="006F3BE4"/>
    <w:rsid w:val="006F5DC0"/>
    <w:rsid w:val="007011DE"/>
    <w:rsid w:val="007279EF"/>
    <w:rsid w:val="00731F2C"/>
    <w:rsid w:val="00734F56"/>
    <w:rsid w:val="007375DB"/>
    <w:rsid w:val="00753B79"/>
    <w:rsid w:val="00761E5F"/>
    <w:rsid w:val="00764016"/>
    <w:rsid w:val="00767DAB"/>
    <w:rsid w:val="007A0ED8"/>
    <w:rsid w:val="007A1BBA"/>
    <w:rsid w:val="007A2F18"/>
    <w:rsid w:val="007A770D"/>
    <w:rsid w:val="007B2A0D"/>
    <w:rsid w:val="007C25E0"/>
    <w:rsid w:val="007C632E"/>
    <w:rsid w:val="007C64EB"/>
    <w:rsid w:val="007D4554"/>
    <w:rsid w:val="007D5516"/>
    <w:rsid w:val="007E2889"/>
    <w:rsid w:val="007E2D15"/>
    <w:rsid w:val="007E3D67"/>
    <w:rsid w:val="007E59FC"/>
    <w:rsid w:val="007F2E10"/>
    <w:rsid w:val="00804CA5"/>
    <w:rsid w:val="008070C7"/>
    <w:rsid w:val="00810067"/>
    <w:rsid w:val="008121A8"/>
    <w:rsid w:val="008122BD"/>
    <w:rsid w:val="0081240C"/>
    <w:rsid w:val="00824D92"/>
    <w:rsid w:val="00835C49"/>
    <w:rsid w:val="00842391"/>
    <w:rsid w:val="00843A36"/>
    <w:rsid w:val="00845B14"/>
    <w:rsid w:val="0085483B"/>
    <w:rsid w:val="00861D71"/>
    <w:rsid w:val="008640EE"/>
    <w:rsid w:val="00872708"/>
    <w:rsid w:val="0087644E"/>
    <w:rsid w:val="00877DC3"/>
    <w:rsid w:val="00886A0F"/>
    <w:rsid w:val="008912EF"/>
    <w:rsid w:val="00896E62"/>
    <w:rsid w:val="008B12AB"/>
    <w:rsid w:val="008B42AA"/>
    <w:rsid w:val="008B6EB5"/>
    <w:rsid w:val="008D1F75"/>
    <w:rsid w:val="008E1FC7"/>
    <w:rsid w:val="008E2A51"/>
    <w:rsid w:val="008E66CA"/>
    <w:rsid w:val="008F76F2"/>
    <w:rsid w:val="00907E7C"/>
    <w:rsid w:val="009112FA"/>
    <w:rsid w:val="00911E18"/>
    <w:rsid w:val="00913D04"/>
    <w:rsid w:val="00924A31"/>
    <w:rsid w:val="00925F4C"/>
    <w:rsid w:val="009300E2"/>
    <w:rsid w:val="00934ECE"/>
    <w:rsid w:val="00937FA8"/>
    <w:rsid w:val="00940DD5"/>
    <w:rsid w:val="00945CAA"/>
    <w:rsid w:val="00961D74"/>
    <w:rsid w:val="00967EF2"/>
    <w:rsid w:val="00971B0A"/>
    <w:rsid w:val="009756F6"/>
    <w:rsid w:val="00983957"/>
    <w:rsid w:val="009906DD"/>
    <w:rsid w:val="00992DCF"/>
    <w:rsid w:val="009A1893"/>
    <w:rsid w:val="009A4530"/>
    <w:rsid w:val="009A6F28"/>
    <w:rsid w:val="009B017F"/>
    <w:rsid w:val="009B4396"/>
    <w:rsid w:val="009C70BC"/>
    <w:rsid w:val="009C766A"/>
    <w:rsid w:val="009D0EA3"/>
    <w:rsid w:val="009D6C38"/>
    <w:rsid w:val="009E286A"/>
    <w:rsid w:val="009E34C5"/>
    <w:rsid w:val="009E798A"/>
    <w:rsid w:val="009F5FA9"/>
    <w:rsid w:val="009F76E1"/>
    <w:rsid w:val="00A0453F"/>
    <w:rsid w:val="00A11479"/>
    <w:rsid w:val="00A130DC"/>
    <w:rsid w:val="00A13945"/>
    <w:rsid w:val="00A245BE"/>
    <w:rsid w:val="00A363F4"/>
    <w:rsid w:val="00A42BA3"/>
    <w:rsid w:val="00A47739"/>
    <w:rsid w:val="00A50B3C"/>
    <w:rsid w:val="00A52EC1"/>
    <w:rsid w:val="00A577B4"/>
    <w:rsid w:val="00A621FC"/>
    <w:rsid w:val="00A64B7F"/>
    <w:rsid w:val="00A667AB"/>
    <w:rsid w:val="00A66F7E"/>
    <w:rsid w:val="00A72D5B"/>
    <w:rsid w:val="00A80DA9"/>
    <w:rsid w:val="00A8291E"/>
    <w:rsid w:val="00A82C58"/>
    <w:rsid w:val="00A93FE4"/>
    <w:rsid w:val="00A9628B"/>
    <w:rsid w:val="00AA0EF1"/>
    <w:rsid w:val="00AA156D"/>
    <w:rsid w:val="00AA2220"/>
    <w:rsid w:val="00AA250F"/>
    <w:rsid w:val="00AA5E91"/>
    <w:rsid w:val="00AB037C"/>
    <w:rsid w:val="00AB59B7"/>
    <w:rsid w:val="00AC052D"/>
    <w:rsid w:val="00AC16DD"/>
    <w:rsid w:val="00AC308B"/>
    <w:rsid w:val="00AC6672"/>
    <w:rsid w:val="00AE04E7"/>
    <w:rsid w:val="00AE520F"/>
    <w:rsid w:val="00AE6BE0"/>
    <w:rsid w:val="00B00DFA"/>
    <w:rsid w:val="00B01050"/>
    <w:rsid w:val="00B267AB"/>
    <w:rsid w:val="00B27617"/>
    <w:rsid w:val="00B36FC2"/>
    <w:rsid w:val="00B45BA5"/>
    <w:rsid w:val="00B55E36"/>
    <w:rsid w:val="00B5717A"/>
    <w:rsid w:val="00B62EA7"/>
    <w:rsid w:val="00B64D56"/>
    <w:rsid w:val="00B65025"/>
    <w:rsid w:val="00B7022B"/>
    <w:rsid w:val="00B7057C"/>
    <w:rsid w:val="00B7202D"/>
    <w:rsid w:val="00B86371"/>
    <w:rsid w:val="00B971B0"/>
    <w:rsid w:val="00B97C64"/>
    <w:rsid w:val="00BA11DA"/>
    <w:rsid w:val="00BA24C1"/>
    <w:rsid w:val="00BC0C76"/>
    <w:rsid w:val="00BD56F8"/>
    <w:rsid w:val="00BE0771"/>
    <w:rsid w:val="00BE7CF1"/>
    <w:rsid w:val="00BF7EF6"/>
    <w:rsid w:val="00C0258D"/>
    <w:rsid w:val="00C12962"/>
    <w:rsid w:val="00C17923"/>
    <w:rsid w:val="00C23544"/>
    <w:rsid w:val="00C2430C"/>
    <w:rsid w:val="00C324A7"/>
    <w:rsid w:val="00C4173C"/>
    <w:rsid w:val="00C42EEB"/>
    <w:rsid w:val="00C46F5F"/>
    <w:rsid w:val="00C50386"/>
    <w:rsid w:val="00C51309"/>
    <w:rsid w:val="00C553E7"/>
    <w:rsid w:val="00C61378"/>
    <w:rsid w:val="00C61FC8"/>
    <w:rsid w:val="00C64E32"/>
    <w:rsid w:val="00C65417"/>
    <w:rsid w:val="00C655D2"/>
    <w:rsid w:val="00C67C56"/>
    <w:rsid w:val="00C7057A"/>
    <w:rsid w:val="00C7621D"/>
    <w:rsid w:val="00C80701"/>
    <w:rsid w:val="00C8292A"/>
    <w:rsid w:val="00C941F2"/>
    <w:rsid w:val="00C94B9A"/>
    <w:rsid w:val="00C971D0"/>
    <w:rsid w:val="00CA0C49"/>
    <w:rsid w:val="00CB3440"/>
    <w:rsid w:val="00CB55F2"/>
    <w:rsid w:val="00CC0738"/>
    <w:rsid w:val="00CC5B84"/>
    <w:rsid w:val="00CC758D"/>
    <w:rsid w:val="00CD6134"/>
    <w:rsid w:val="00CD7C56"/>
    <w:rsid w:val="00CD7CEC"/>
    <w:rsid w:val="00CE0987"/>
    <w:rsid w:val="00CE1A9B"/>
    <w:rsid w:val="00CE7BB4"/>
    <w:rsid w:val="00CE7E6C"/>
    <w:rsid w:val="00CF57AF"/>
    <w:rsid w:val="00CF5B86"/>
    <w:rsid w:val="00D004BF"/>
    <w:rsid w:val="00D03F17"/>
    <w:rsid w:val="00D04680"/>
    <w:rsid w:val="00D05B16"/>
    <w:rsid w:val="00D244D8"/>
    <w:rsid w:val="00D35726"/>
    <w:rsid w:val="00D43BF0"/>
    <w:rsid w:val="00D50748"/>
    <w:rsid w:val="00D57FEF"/>
    <w:rsid w:val="00D6387B"/>
    <w:rsid w:val="00D6613B"/>
    <w:rsid w:val="00D741C8"/>
    <w:rsid w:val="00D81FE3"/>
    <w:rsid w:val="00D86926"/>
    <w:rsid w:val="00D96315"/>
    <w:rsid w:val="00DA0425"/>
    <w:rsid w:val="00DA29C5"/>
    <w:rsid w:val="00DA64A4"/>
    <w:rsid w:val="00DA6F85"/>
    <w:rsid w:val="00DB34F2"/>
    <w:rsid w:val="00DC2B90"/>
    <w:rsid w:val="00DC32F1"/>
    <w:rsid w:val="00DC7C9C"/>
    <w:rsid w:val="00DD19D8"/>
    <w:rsid w:val="00DD3A78"/>
    <w:rsid w:val="00DD5CF6"/>
    <w:rsid w:val="00DE13AA"/>
    <w:rsid w:val="00DE23D3"/>
    <w:rsid w:val="00DE6567"/>
    <w:rsid w:val="00DF1973"/>
    <w:rsid w:val="00DF5012"/>
    <w:rsid w:val="00DF66B1"/>
    <w:rsid w:val="00DF7F36"/>
    <w:rsid w:val="00E04E55"/>
    <w:rsid w:val="00E055FF"/>
    <w:rsid w:val="00E16DEC"/>
    <w:rsid w:val="00E37699"/>
    <w:rsid w:val="00E37701"/>
    <w:rsid w:val="00E42C2B"/>
    <w:rsid w:val="00E45D59"/>
    <w:rsid w:val="00E47FB5"/>
    <w:rsid w:val="00E72FE3"/>
    <w:rsid w:val="00E81803"/>
    <w:rsid w:val="00E8745B"/>
    <w:rsid w:val="00E90945"/>
    <w:rsid w:val="00E94ABF"/>
    <w:rsid w:val="00EA03B9"/>
    <w:rsid w:val="00EA49FD"/>
    <w:rsid w:val="00EA58FC"/>
    <w:rsid w:val="00EB2197"/>
    <w:rsid w:val="00EC470C"/>
    <w:rsid w:val="00EC4B2C"/>
    <w:rsid w:val="00ED3ADA"/>
    <w:rsid w:val="00ED4F88"/>
    <w:rsid w:val="00EE40E7"/>
    <w:rsid w:val="00EE71DA"/>
    <w:rsid w:val="00EF136E"/>
    <w:rsid w:val="00F039EF"/>
    <w:rsid w:val="00F04A5D"/>
    <w:rsid w:val="00F0521B"/>
    <w:rsid w:val="00F14407"/>
    <w:rsid w:val="00F2213D"/>
    <w:rsid w:val="00F248D4"/>
    <w:rsid w:val="00F26391"/>
    <w:rsid w:val="00F303B7"/>
    <w:rsid w:val="00F35C89"/>
    <w:rsid w:val="00F360DB"/>
    <w:rsid w:val="00F423EC"/>
    <w:rsid w:val="00F451FA"/>
    <w:rsid w:val="00F5314D"/>
    <w:rsid w:val="00F53A7E"/>
    <w:rsid w:val="00F5561E"/>
    <w:rsid w:val="00F75193"/>
    <w:rsid w:val="00F95118"/>
    <w:rsid w:val="00FA11C4"/>
    <w:rsid w:val="00FA296F"/>
    <w:rsid w:val="00FA66E6"/>
    <w:rsid w:val="00FB57DF"/>
    <w:rsid w:val="00FB7137"/>
    <w:rsid w:val="00FC22D1"/>
    <w:rsid w:val="00FD3436"/>
    <w:rsid w:val="00FE2CC9"/>
    <w:rsid w:val="00FF584F"/>
    <w:rsid w:val="018362EB"/>
    <w:rsid w:val="028D7421"/>
    <w:rsid w:val="02CB555D"/>
    <w:rsid w:val="03393105"/>
    <w:rsid w:val="03634626"/>
    <w:rsid w:val="04293179"/>
    <w:rsid w:val="042F11D5"/>
    <w:rsid w:val="042F62B6"/>
    <w:rsid w:val="046A5B6D"/>
    <w:rsid w:val="047168CE"/>
    <w:rsid w:val="05A47AAF"/>
    <w:rsid w:val="05E76E48"/>
    <w:rsid w:val="06764670"/>
    <w:rsid w:val="069F45F1"/>
    <w:rsid w:val="06A81672"/>
    <w:rsid w:val="06AF21D5"/>
    <w:rsid w:val="06D8723B"/>
    <w:rsid w:val="070412B5"/>
    <w:rsid w:val="07131EBF"/>
    <w:rsid w:val="072B0FB7"/>
    <w:rsid w:val="07353036"/>
    <w:rsid w:val="07520C39"/>
    <w:rsid w:val="08152F34"/>
    <w:rsid w:val="08941EEC"/>
    <w:rsid w:val="089A4646"/>
    <w:rsid w:val="096B5FE2"/>
    <w:rsid w:val="099A0675"/>
    <w:rsid w:val="0A100914"/>
    <w:rsid w:val="0A110938"/>
    <w:rsid w:val="0A6A2895"/>
    <w:rsid w:val="0A943317"/>
    <w:rsid w:val="0AF12BCF"/>
    <w:rsid w:val="0B00275A"/>
    <w:rsid w:val="0B092C3A"/>
    <w:rsid w:val="0B5C3E34"/>
    <w:rsid w:val="0B770C84"/>
    <w:rsid w:val="0B8C1969"/>
    <w:rsid w:val="0BAE0408"/>
    <w:rsid w:val="0C152235"/>
    <w:rsid w:val="0C35324F"/>
    <w:rsid w:val="0C727688"/>
    <w:rsid w:val="0CFF716D"/>
    <w:rsid w:val="0D841421"/>
    <w:rsid w:val="0DE61630"/>
    <w:rsid w:val="0E176739"/>
    <w:rsid w:val="0E4F7C80"/>
    <w:rsid w:val="0E8813E4"/>
    <w:rsid w:val="0E945A78"/>
    <w:rsid w:val="0F052A35"/>
    <w:rsid w:val="0F1011D6"/>
    <w:rsid w:val="0F977FCF"/>
    <w:rsid w:val="10337E3C"/>
    <w:rsid w:val="10CC16D2"/>
    <w:rsid w:val="11435D86"/>
    <w:rsid w:val="117143B2"/>
    <w:rsid w:val="12024D08"/>
    <w:rsid w:val="128123D2"/>
    <w:rsid w:val="13E73EF9"/>
    <w:rsid w:val="14643D5A"/>
    <w:rsid w:val="14C33176"/>
    <w:rsid w:val="15A24B3A"/>
    <w:rsid w:val="16473933"/>
    <w:rsid w:val="171E5118"/>
    <w:rsid w:val="172D2B29"/>
    <w:rsid w:val="17F03046"/>
    <w:rsid w:val="185540E5"/>
    <w:rsid w:val="189E6FDE"/>
    <w:rsid w:val="18D421D0"/>
    <w:rsid w:val="191A0AC5"/>
    <w:rsid w:val="196011FA"/>
    <w:rsid w:val="196B6F5D"/>
    <w:rsid w:val="1A27385F"/>
    <w:rsid w:val="1A5F2609"/>
    <w:rsid w:val="1AA749A0"/>
    <w:rsid w:val="1BCE1AEE"/>
    <w:rsid w:val="1BD9502D"/>
    <w:rsid w:val="1C4A7CD9"/>
    <w:rsid w:val="1C7D00AF"/>
    <w:rsid w:val="1E871599"/>
    <w:rsid w:val="1EB53B30"/>
    <w:rsid w:val="1FB918E9"/>
    <w:rsid w:val="1FCC3F24"/>
    <w:rsid w:val="1FD11A8A"/>
    <w:rsid w:val="20953D94"/>
    <w:rsid w:val="20AE5F64"/>
    <w:rsid w:val="20DA787C"/>
    <w:rsid w:val="21091EEB"/>
    <w:rsid w:val="21771570"/>
    <w:rsid w:val="219A2455"/>
    <w:rsid w:val="21B225A8"/>
    <w:rsid w:val="227C4DC1"/>
    <w:rsid w:val="227E248B"/>
    <w:rsid w:val="22C24A6D"/>
    <w:rsid w:val="23294DB1"/>
    <w:rsid w:val="23333275"/>
    <w:rsid w:val="233B7CFA"/>
    <w:rsid w:val="239B0E1A"/>
    <w:rsid w:val="23CB16FF"/>
    <w:rsid w:val="23F21382"/>
    <w:rsid w:val="248A7067"/>
    <w:rsid w:val="24973CD7"/>
    <w:rsid w:val="249D7540"/>
    <w:rsid w:val="24F5112A"/>
    <w:rsid w:val="253D5128"/>
    <w:rsid w:val="25F91C22"/>
    <w:rsid w:val="265815B9"/>
    <w:rsid w:val="26706A6C"/>
    <w:rsid w:val="26887D7C"/>
    <w:rsid w:val="270F3FF9"/>
    <w:rsid w:val="27A72484"/>
    <w:rsid w:val="28445F24"/>
    <w:rsid w:val="28812CD5"/>
    <w:rsid w:val="28AC5FA3"/>
    <w:rsid w:val="28BE5CD7"/>
    <w:rsid w:val="28C25E2C"/>
    <w:rsid w:val="2A02620A"/>
    <w:rsid w:val="2B2B10ED"/>
    <w:rsid w:val="2C1F6A8C"/>
    <w:rsid w:val="2C6E624B"/>
    <w:rsid w:val="2CDF7FCA"/>
    <w:rsid w:val="2E0A551A"/>
    <w:rsid w:val="2E42125D"/>
    <w:rsid w:val="2E492020"/>
    <w:rsid w:val="2EEB70FA"/>
    <w:rsid w:val="2F012479"/>
    <w:rsid w:val="2FBA4F71"/>
    <w:rsid w:val="3029060B"/>
    <w:rsid w:val="306D6B0B"/>
    <w:rsid w:val="30B51781"/>
    <w:rsid w:val="32411CAD"/>
    <w:rsid w:val="33C65A3F"/>
    <w:rsid w:val="33DB0C64"/>
    <w:rsid w:val="34E16FD5"/>
    <w:rsid w:val="350119DB"/>
    <w:rsid w:val="35B36039"/>
    <w:rsid w:val="36516013"/>
    <w:rsid w:val="36EE59D9"/>
    <w:rsid w:val="37996E16"/>
    <w:rsid w:val="381051E0"/>
    <w:rsid w:val="38397128"/>
    <w:rsid w:val="38797B60"/>
    <w:rsid w:val="38854920"/>
    <w:rsid w:val="399D7242"/>
    <w:rsid w:val="3AEE22E7"/>
    <w:rsid w:val="3B20637D"/>
    <w:rsid w:val="3B2C087E"/>
    <w:rsid w:val="3B4E689C"/>
    <w:rsid w:val="3BBE5F43"/>
    <w:rsid w:val="3BE63123"/>
    <w:rsid w:val="3BEB698B"/>
    <w:rsid w:val="3C0E17FD"/>
    <w:rsid w:val="3C4A500F"/>
    <w:rsid w:val="3CC92A05"/>
    <w:rsid w:val="3F087854"/>
    <w:rsid w:val="40640ABA"/>
    <w:rsid w:val="40734BA6"/>
    <w:rsid w:val="410F4ECA"/>
    <w:rsid w:val="42134546"/>
    <w:rsid w:val="43430E5B"/>
    <w:rsid w:val="446217B4"/>
    <w:rsid w:val="452667F2"/>
    <w:rsid w:val="45482758"/>
    <w:rsid w:val="454C56D7"/>
    <w:rsid w:val="455A248C"/>
    <w:rsid w:val="46000306"/>
    <w:rsid w:val="4665531F"/>
    <w:rsid w:val="466D7E01"/>
    <w:rsid w:val="467B0262"/>
    <w:rsid w:val="469C3FEF"/>
    <w:rsid w:val="46EF28B0"/>
    <w:rsid w:val="472D42FC"/>
    <w:rsid w:val="47CB553F"/>
    <w:rsid w:val="480F755D"/>
    <w:rsid w:val="489B7043"/>
    <w:rsid w:val="490A5B21"/>
    <w:rsid w:val="49122B6B"/>
    <w:rsid w:val="494D658F"/>
    <w:rsid w:val="49523BA5"/>
    <w:rsid w:val="49885819"/>
    <w:rsid w:val="499E328F"/>
    <w:rsid w:val="49B453F3"/>
    <w:rsid w:val="49F27137"/>
    <w:rsid w:val="4A630E0F"/>
    <w:rsid w:val="4A9B1101"/>
    <w:rsid w:val="4BB5041C"/>
    <w:rsid w:val="4C341C88"/>
    <w:rsid w:val="4C503993"/>
    <w:rsid w:val="4C6753F2"/>
    <w:rsid w:val="4CCC0113"/>
    <w:rsid w:val="4D495C8D"/>
    <w:rsid w:val="4D4F3027"/>
    <w:rsid w:val="4D65200F"/>
    <w:rsid w:val="4F85786B"/>
    <w:rsid w:val="4FA46C00"/>
    <w:rsid w:val="51707EB2"/>
    <w:rsid w:val="517233A9"/>
    <w:rsid w:val="51A76A58"/>
    <w:rsid w:val="51D96AA0"/>
    <w:rsid w:val="523A167B"/>
    <w:rsid w:val="524A73EC"/>
    <w:rsid w:val="52846D9A"/>
    <w:rsid w:val="53AE4CAB"/>
    <w:rsid w:val="54372316"/>
    <w:rsid w:val="54694499"/>
    <w:rsid w:val="548D0188"/>
    <w:rsid w:val="55124B31"/>
    <w:rsid w:val="5596306C"/>
    <w:rsid w:val="55E71B19"/>
    <w:rsid w:val="56101068"/>
    <w:rsid w:val="56B23ED5"/>
    <w:rsid w:val="574A0D3C"/>
    <w:rsid w:val="584C49FD"/>
    <w:rsid w:val="58C6010C"/>
    <w:rsid w:val="58F63137"/>
    <w:rsid w:val="592A1211"/>
    <w:rsid w:val="59632CF0"/>
    <w:rsid w:val="59AB2010"/>
    <w:rsid w:val="59BB7545"/>
    <w:rsid w:val="5B42334E"/>
    <w:rsid w:val="5BF37041"/>
    <w:rsid w:val="5BFE5E0F"/>
    <w:rsid w:val="5C4479EC"/>
    <w:rsid w:val="5D156F6C"/>
    <w:rsid w:val="5DAF5613"/>
    <w:rsid w:val="5E110CD3"/>
    <w:rsid w:val="5E7F5697"/>
    <w:rsid w:val="5E9B2C55"/>
    <w:rsid w:val="5EAE4134"/>
    <w:rsid w:val="5ED43BEF"/>
    <w:rsid w:val="5EDE4B23"/>
    <w:rsid w:val="5F385194"/>
    <w:rsid w:val="6022562C"/>
    <w:rsid w:val="60E5134B"/>
    <w:rsid w:val="61693D2A"/>
    <w:rsid w:val="62146FF5"/>
    <w:rsid w:val="6271733B"/>
    <w:rsid w:val="628A21AA"/>
    <w:rsid w:val="62917095"/>
    <w:rsid w:val="62944DD7"/>
    <w:rsid w:val="62C34CA8"/>
    <w:rsid w:val="62C531E2"/>
    <w:rsid w:val="62E8291D"/>
    <w:rsid w:val="63365E8E"/>
    <w:rsid w:val="634B6CC2"/>
    <w:rsid w:val="63671B4A"/>
    <w:rsid w:val="63F26259"/>
    <w:rsid w:val="63F33818"/>
    <w:rsid w:val="643A6ABE"/>
    <w:rsid w:val="64EC4A56"/>
    <w:rsid w:val="65960E66"/>
    <w:rsid w:val="659A2793"/>
    <w:rsid w:val="66A001EE"/>
    <w:rsid w:val="66A55805"/>
    <w:rsid w:val="671B1623"/>
    <w:rsid w:val="672524A2"/>
    <w:rsid w:val="683E494A"/>
    <w:rsid w:val="68541818"/>
    <w:rsid w:val="685A43CD"/>
    <w:rsid w:val="69364BDE"/>
    <w:rsid w:val="69586B5E"/>
    <w:rsid w:val="69695723"/>
    <w:rsid w:val="6A1865D6"/>
    <w:rsid w:val="6A6F2322"/>
    <w:rsid w:val="6AD94CA4"/>
    <w:rsid w:val="6AEF34F2"/>
    <w:rsid w:val="6BE02E3B"/>
    <w:rsid w:val="6C6770B8"/>
    <w:rsid w:val="6C7812C6"/>
    <w:rsid w:val="6CBC1DE1"/>
    <w:rsid w:val="6CE65781"/>
    <w:rsid w:val="6CFC3CA5"/>
    <w:rsid w:val="6D266F73"/>
    <w:rsid w:val="6D8A0652"/>
    <w:rsid w:val="6E8B43B1"/>
    <w:rsid w:val="6EE50E19"/>
    <w:rsid w:val="6F1C09DC"/>
    <w:rsid w:val="6FA47CE9"/>
    <w:rsid w:val="7053007F"/>
    <w:rsid w:val="706D7D1B"/>
    <w:rsid w:val="7122185E"/>
    <w:rsid w:val="71632544"/>
    <w:rsid w:val="7399049F"/>
    <w:rsid w:val="73CF5C6F"/>
    <w:rsid w:val="741B5358"/>
    <w:rsid w:val="74604B19"/>
    <w:rsid w:val="749A44CF"/>
    <w:rsid w:val="758D7B90"/>
    <w:rsid w:val="75AD0232"/>
    <w:rsid w:val="75CD321A"/>
    <w:rsid w:val="75E42B97"/>
    <w:rsid w:val="76342701"/>
    <w:rsid w:val="7645320A"/>
    <w:rsid w:val="76FA2F72"/>
    <w:rsid w:val="774D1CF0"/>
    <w:rsid w:val="77972F48"/>
    <w:rsid w:val="784144A5"/>
    <w:rsid w:val="7879770C"/>
    <w:rsid w:val="78861F31"/>
    <w:rsid w:val="792425B9"/>
    <w:rsid w:val="79BD656A"/>
    <w:rsid w:val="7A0E547F"/>
    <w:rsid w:val="7A7802E0"/>
    <w:rsid w:val="7A805F15"/>
    <w:rsid w:val="7B7A0BB6"/>
    <w:rsid w:val="7B7A2964"/>
    <w:rsid w:val="7C044D6A"/>
    <w:rsid w:val="7C0F3CB3"/>
    <w:rsid w:val="7C122100"/>
    <w:rsid w:val="7C151EAF"/>
    <w:rsid w:val="7CA12173"/>
    <w:rsid w:val="7D9500AC"/>
    <w:rsid w:val="7E292420"/>
    <w:rsid w:val="7E530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6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next w:val="1"/>
    <w:link w:val="2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pPr>
  </w:style>
  <w:style w:type="paragraph" w:styleId="7">
    <w:name w:val="annotation text"/>
    <w:basedOn w:val="1"/>
    <w:semiHidden/>
    <w:unhideWhenUsed/>
    <w:qFormat/>
    <w:uiPriority w:val="99"/>
    <w:pPr>
      <w:jc w:val="left"/>
    </w:pPr>
  </w:style>
  <w:style w:type="paragraph" w:styleId="8">
    <w:name w:val="Body Text"/>
    <w:basedOn w:val="1"/>
    <w:qFormat/>
    <w:uiPriority w:val="99"/>
    <w:pPr>
      <w:spacing w:after="120"/>
    </w:pPr>
  </w:style>
  <w:style w:type="paragraph" w:styleId="9">
    <w:name w:val="Balloon Text"/>
    <w:basedOn w:val="1"/>
    <w:link w:val="62"/>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Emphasis"/>
    <w:basedOn w:val="15"/>
    <w:qFormat/>
    <w:uiPriority w:val="20"/>
    <w:rPr>
      <w:i/>
      <w:iCs/>
    </w:rPr>
  </w:style>
  <w:style w:type="character" w:styleId="18">
    <w:name w:val="annotation reference"/>
    <w:basedOn w:val="15"/>
    <w:semiHidden/>
    <w:unhideWhenUsed/>
    <w:uiPriority w:val="99"/>
    <w:rPr>
      <w:sz w:val="21"/>
      <w:szCs w:val="21"/>
    </w:rPr>
  </w:style>
  <w:style w:type="character" w:customStyle="1" w:styleId="19">
    <w:name w:val="页眉 字符"/>
    <w:basedOn w:val="15"/>
    <w:link w:val="11"/>
    <w:qFormat/>
    <w:uiPriority w:val="99"/>
    <w:rPr>
      <w:sz w:val="18"/>
      <w:szCs w:val="18"/>
    </w:rPr>
  </w:style>
  <w:style w:type="character" w:customStyle="1" w:styleId="20">
    <w:name w:val="页脚 字符"/>
    <w:basedOn w:val="15"/>
    <w:link w:val="10"/>
    <w:qFormat/>
    <w:uiPriority w:val="99"/>
    <w:rPr>
      <w:sz w:val="18"/>
      <w:szCs w:val="18"/>
    </w:rPr>
  </w:style>
  <w:style w:type="character" w:customStyle="1" w:styleId="21">
    <w:name w:val="标题 1 字符"/>
    <w:basedOn w:val="15"/>
    <w:link w:val="2"/>
    <w:qFormat/>
    <w:uiPriority w:val="9"/>
    <w:rPr>
      <w:rFonts w:ascii="宋体" w:hAnsi="宋体" w:eastAsia="宋体" w:cs="宋体"/>
      <w:b/>
      <w:bCs/>
      <w:kern w:val="36"/>
      <w:sz w:val="48"/>
      <w:szCs w:val="48"/>
    </w:rPr>
  </w:style>
  <w:style w:type="character" w:customStyle="1" w:styleId="22">
    <w:name w:val="标题 3 字符"/>
    <w:basedOn w:val="15"/>
    <w:link w:val="4"/>
    <w:qFormat/>
    <w:uiPriority w:val="9"/>
    <w:rPr>
      <w:rFonts w:ascii="宋体" w:hAnsi="宋体" w:eastAsia="宋体" w:cs="宋体"/>
      <w:b/>
      <w:bCs/>
      <w:kern w:val="0"/>
      <w:sz w:val="27"/>
      <w:szCs w:val="27"/>
    </w:rPr>
  </w:style>
  <w:style w:type="character" w:customStyle="1" w:styleId="23">
    <w:name w:val="标题 5 字符"/>
    <w:basedOn w:val="15"/>
    <w:link w:val="5"/>
    <w:qFormat/>
    <w:uiPriority w:val="9"/>
    <w:rPr>
      <w:rFonts w:ascii="宋体" w:hAnsi="宋体" w:eastAsia="宋体" w:cs="宋体"/>
      <w:b/>
      <w:bCs/>
      <w:kern w:val="0"/>
      <w:sz w:val="20"/>
      <w:szCs w:val="20"/>
    </w:rPr>
  </w:style>
  <w:style w:type="character" w:customStyle="1" w:styleId="24">
    <w:name w:val="population-ceilingprice"/>
    <w:basedOn w:val="15"/>
    <w:qFormat/>
    <w:uiPriority w:val="0"/>
  </w:style>
  <w:style w:type="character" w:customStyle="1" w:styleId="25">
    <w:name w:val="population-projectoverview"/>
    <w:basedOn w:val="15"/>
    <w:qFormat/>
    <w:uiPriority w:val="0"/>
  </w:style>
  <w:style w:type="character" w:customStyle="1" w:styleId="26">
    <w:name w:val="population-hassupplier"/>
    <w:basedOn w:val="15"/>
    <w:qFormat/>
    <w:uiPriority w:val="0"/>
  </w:style>
  <w:style w:type="character" w:customStyle="1" w:styleId="27">
    <w:name w:val="investigation-researchstatus"/>
    <w:basedOn w:val="15"/>
    <w:qFormat/>
    <w:uiPriority w:val="0"/>
  </w:style>
  <w:style w:type="character" w:customStyle="1" w:styleId="28">
    <w:name w:val="implementation-kind"/>
    <w:basedOn w:val="15"/>
    <w:qFormat/>
    <w:uiPriority w:val="0"/>
  </w:style>
  <w:style w:type="character" w:customStyle="1" w:styleId="29">
    <w:name w:val="implementation-purmethod"/>
    <w:basedOn w:val="15"/>
    <w:qFormat/>
    <w:uiPriority w:val="0"/>
  </w:style>
  <w:style w:type="character" w:customStyle="1" w:styleId="30">
    <w:name w:val="implementation-subcontracttotal"/>
    <w:basedOn w:val="15"/>
    <w:qFormat/>
    <w:uiPriority w:val="0"/>
  </w:style>
  <w:style w:type="character" w:customStyle="1" w:styleId="31">
    <w:name w:val="implementation-reservestatus"/>
    <w:basedOn w:val="15"/>
    <w:qFormat/>
    <w:uiPriority w:val="0"/>
  </w:style>
  <w:style w:type="character" w:customStyle="1" w:styleId="32">
    <w:name w:val="implementation-govservice"/>
    <w:basedOn w:val="15"/>
    <w:qFormat/>
    <w:uiPriority w:val="0"/>
  </w:style>
  <w:style w:type="character" w:customStyle="1" w:styleId="33">
    <w:name w:val="implementation-govinfomationstatus"/>
    <w:basedOn w:val="15"/>
    <w:qFormat/>
    <w:uiPriority w:val="0"/>
  </w:style>
  <w:style w:type="character" w:customStyle="1" w:styleId="34">
    <w:name w:val="implementation-sciencestatus"/>
    <w:basedOn w:val="15"/>
    <w:qFormat/>
    <w:uiPriority w:val="0"/>
  </w:style>
  <w:style w:type="character" w:customStyle="1" w:styleId="35">
    <w:name w:val="implementation-pppstatus"/>
    <w:basedOn w:val="15"/>
    <w:qFormat/>
    <w:uiPriority w:val="0"/>
  </w:style>
  <w:style w:type="character" w:customStyle="1" w:styleId="36">
    <w:name w:val="subcontract-legalcontracttype"/>
    <w:basedOn w:val="15"/>
    <w:qFormat/>
    <w:uiPriority w:val="0"/>
  </w:style>
  <w:style w:type="character" w:customStyle="1" w:styleId="37">
    <w:name w:val="subcontract-performperiod"/>
    <w:basedOn w:val="15"/>
    <w:qFormat/>
    <w:uiPriority w:val="0"/>
  </w:style>
  <w:style w:type="character" w:customStyle="1" w:styleId="38">
    <w:name w:val="subcontract-performaddress"/>
    <w:basedOn w:val="15"/>
    <w:qFormat/>
    <w:uiPriority w:val="0"/>
  </w:style>
  <w:style w:type="character" w:customStyle="1" w:styleId="39">
    <w:name w:val="subcontract-contractpaytype"/>
    <w:basedOn w:val="15"/>
    <w:qFormat/>
    <w:uiPriority w:val="0"/>
  </w:style>
  <w:style w:type="character" w:customStyle="1" w:styleId="40">
    <w:name w:val="subcontract-deliverystandard"/>
    <w:basedOn w:val="15"/>
    <w:qFormat/>
    <w:uiPriority w:val="0"/>
  </w:style>
  <w:style w:type="character" w:customStyle="1" w:styleId="41">
    <w:name w:val="subcontract-maintenance"/>
    <w:basedOn w:val="15"/>
    <w:qFormat/>
    <w:uiPriority w:val="0"/>
  </w:style>
  <w:style w:type="character" w:customStyle="1" w:styleId="42">
    <w:name w:val="subcontract-intellectualproperty"/>
    <w:basedOn w:val="15"/>
    <w:qFormat/>
    <w:uiPriority w:val="0"/>
  </w:style>
  <w:style w:type="character" w:customStyle="1" w:styleId="43">
    <w:name w:val="subcontract-risksharing"/>
    <w:basedOn w:val="15"/>
    <w:qFormat/>
    <w:uiPriority w:val="0"/>
  </w:style>
  <w:style w:type="character" w:customStyle="1" w:styleId="44">
    <w:name w:val="subcontract-disputeresolution"/>
    <w:basedOn w:val="15"/>
    <w:qFormat/>
    <w:uiPriority w:val="0"/>
  </w:style>
  <w:style w:type="character" w:customStyle="1" w:styleId="45">
    <w:name w:val="subcontract-otherterms"/>
    <w:basedOn w:val="15"/>
    <w:qFormat/>
    <w:uiPriority w:val="0"/>
  </w:style>
  <w:style w:type="character" w:customStyle="1" w:styleId="46">
    <w:name w:val="subcontract-acceptancetype"/>
    <w:basedOn w:val="15"/>
    <w:qFormat/>
    <w:uiPriority w:val="0"/>
  </w:style>
  <w:style w:type="character" w:customStyle="1" w:styleId="47">
    <w:name w:val="subcontract-invitesupplierstatus"/>
    <w:basedOn w:val="15"/>
    <w:qFormat/>
    <w:uiPriority w:val="0"/>
  </w:style>
  <w:style w:type="character" w:customStyle="1" w:styleId="48">
    <w:name w:val="subcontract-inviteexpertstatus"/>
    <w:basedOn w:val="15"/>
    <w:qFormat/>
    <w:uiPriority w:val="0"/>
  </w:style>
  <w:style w:type="character" w:customStyle="1" w:styleId="49">
    <w:name w:val="subcontract-inviteserviceobjectstatus"/>
    <w:basedOn w:val="15"/>
    <w:qFormat/>
    <w:uiPriority w:val="0"/>
  </w:style>
  <w:style w:type="character" w:customStyle="1" w:styleId="50">
    <w:name w:val="subcontract-professionaldetectionstatus"/>
    <w:basedOn w:val="15"/>
    <w:qFormat/>
    <w:uiPriority w:val="0"/>
  </w:style>
  <w:style w:type="character" w:customStyle="1" w:styleId="51">
    <w:name w:val="subcontract-acceptanceprocesstype"/>
    <w:basedOn w:val="15"/>
    <w:qFormat/>
    <w:uiPriority w:val="0"/>
  </w:style>
  <w:style w:type="character" w:customStyle="1" w:styleId="52">
    <w:name w:val="subcontract-acceptancemethod"/>
    <w:basedOn w:val="15"/>
    <w:qFormat/>
    <w:uiPriority w:val="0"/>
  </w:style>
  <w:style w:type="character" w:customStyle="1" w:styleId="53">
    <w:name w:val="subcontract-otherpreparations"/>
    <w:basedOn w:val="15"/>
    <w:qFormat/>
    <w:uiPriority w:val="0"/>
  </w:style>
  <w:style w:type="character" w:customStyle="1" w:styleId="54">
    <w:name w:val="subcontract-goodscontent"/>
    <w:basedOn w:val="15"/>
    <w:qFormat/>
    <w:uiPriority w:val="0"/>
  </w:style>
  <w:style w:type="character" w:customStyle="1" w:styleId="55">
    <w:name w:val="subcontract-businesscontent"/>
    <w:basedOn w:val="15"/>
    <w:qFormat/>
    <w:uiPriority w:val="0"/>
  </w:style>
  <w:style w:type="character" w:customStyle="1" w:styleId="56">
    <w:name w:val="subcontract-acceptancecriteria"/>
    <w:basedOn w:val="15"/>
    <w:qFormat/>
    <w:uiPriority w:val="0"/>
  </w:style>
  <w:style w:type="character" w:customStyle="1" w:styleId="57">
    <w:name w:val="subcontract-othercontent"/>
    <w:basedOn w:val="15"/>
    <w:qFormat/>
    <w:uiPriority w:val="0"/>
  </w:style>
  <w:style w:type="character" w:customStyle="1" w:styleId="58">
    <w:name w:val="risk-riskresponse"/>
    <w:basedOn w:val="15"/>
    <w:qFormat/>
    <w:uiPriority w:val="0"/>
  </w:style>
  <w:style w:type="paragraph" w:styleId="59">
    <w:name w:val="List Paragraph"/>
    <w:basedOn w:val="1"/>
    <w:qFormat/>
    <w:uiPriority w:val="34"/>
    <w:pPr>
      <w:ind w:firstLine="420" w:firstLineChars="200"/>
    </w:pPr>
  </w:style>
  <w:style w:type="character" w:customStyle="1" w:styleId="60">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61">
    <w:name w:val="null3"/>
    <w:hidden/>
    <w:qFormat/>
    <w:uiPriority w:val="0"/>
    <w:rPr>
      <w:rFonts w:hint="eastAsia" w:asciiTheme="minorHAnsi" w:hAnsiTheme="minorHAnsi" w:eastAsiaTheme="minorEastAsia" w:cstheme="minorBidi"/>
      <w:lang w:val="en-US" w:eastAsia="zh-Hans" w:bidi="ar-SA"/>
    </w:rPr>
  </w:style>
  <w:style w:type="character" w:customStyle="1" w:styleId="62">
    <w:name w:val="批注框文本 字符"/>
    <w:basedOn w:val="15"/>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9638</Words>
  <Characters>9874</Characters>
  <Lines>255</Lines>
  <Paragraphs>71</Paragraphs>
  <TotalTime>41</TotalTime>
  <ScaleCrop>false</ScaleCrop>
  <LinksUpToDate>false</LinksUpToDate>
  <CharactersWithSpaces>9996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张灵峻</dc:creator>
  <cp:lastModifiedBy>李晓英</cp:lastModifiedBy>
  <dcterms:modified xsi:type="dcterms:W3CDTF">2025-04-14T03:08:05Z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eyJoZGlkIjoiYWI3MjUyMGU4MDQ2MWNmNDU5OWQ3ODQxYzZmZTczMmMifQ==</vt:lpwstr>
  </property>
  <property fmtid="{D5CDD505-2E9C-101B-9397-08002B2CF9AE}" pid="3" name="KSOProductBuildVer">
    <vt:lpwstr>2052-12.1.0.20784</vt:lpwstr>
  </property>
  <property fmtid="{D5CDD505-2E9C-101B-9397-08002B2CF9AE}" pid="4" name="ICV">
    <vt:lpwstr>71C22A9E1CF845908FBF5A22E57C4623_13</vt:lpwstr>
  </property>
  <property fmtid="{D5CDD505-2E9C-101B-9397-08002B2CF9AE}" pid="5" name="KSOTemplateDocerSaveRecord">
    <vt:lpwstr>eyJoZGlkIjoiMDE0MTIxMTZjZGE1NTI4Y2MyMTllOTk0MjBiNGUwMTQiLCJ1c2VySWQiOiI0NDk4Mjk3NDgifQ==</vt:lpwstr>
  </property>
</Properties>
</file>